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2A9" w:rsidRDefault="002B7961">
      <w:pPr>
        <w:pStyle w:val="Title"/>
        <w:rPr>
          <w:sz w:val="8"/>
        </w:rPr>
      </w:pPr>
      <w:bookmarkStart w:id="0" w:name="_Toc15189024"/>
      <w:bookmarkStart w:id="1" w:name="_top"/>
      <w:bookmarkEnd w:id="1"/>
      <w:r>
        <w:rPr>
          <w:noProof/>
          <w:sz w:val="8"/>
          <w:lang w:eastAsia="en-IE"/>
        </w:rPr>
        <w:drawing>
          <wp:inline distT="0" distB="0" distL="0" distR="0" wp14:anchorId="75A86364" wp14:editId="57F9FC12">
            <wp:extent cx="2506345" cy="832485"/>
            <wp:effectExtent l="0" t="0" r="8255" b="5715"/>
            <wp:docPr id="4"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6345" cy="832485"/>
                    </a:xfrm>
                    <a:prstGeom prst="rect">
                      <a:avLst/>
                    </a:prstGeom>
                    <a:noFill/>
                    <a:ln>
                      <a:noFill/>
                    </a:ln>
                  </pic:spPr>
                </pic:pic>
              </a:graphicData>
            </a:graphic>
          </wp:inline>
        </w:drawing>
      </w:r>
    </w:p>
    <w:p w:rsidR="001712A9" w:rsidRDefault="001712A9">
      <w:pPr>
        <w:pStyle w:val="Title"/>
        <w:rPr>
          <w:sz w:val="8"/>
        </w:rPr>
      </w:pPr>
    </w:p>
    <w:p w:rsidR="001712A9" w:rsidRDefault="001712A9" w:rsidP="00BC2D9A">
      <w:pPr>
        <w:pStyle w:val="Title"/>
        <w:rPr>
          <w:noProof/>
          <w:lang w:val="en-US"/>
        </w:rPr>
      </w:pPr>
      <w:r w:rsidRPr="00BC2D9A">
        <w:rPr>
          <w:sz w:val="28"/>
        </w:rPr>
        <w:t>Forestry and Wood Update</w:t>
      </w:r>
      <w:bookmarkEnd w:id="0"/>
      <w:r w:rsidR="00BC2D9A">
        <w:rPr>
          <w:sz w:val="28"/>
        </w:rPr>
        <w:t>……………….</w:t>
      </w:r>
      <w:r w:rsidRPr="00BC2D9A">
        <w:rPr>
          <w:sz w:val="28"/>
        </w:rPr>
        <w:t>January 2003 - Volume 3 Issue 1</w:t>
      </w:r>
    </w:p>
    <w:p w:rsidR="001712A9" w:rsidRDefault="001712A9"/>
    <w:p w:rsidR="001712A9" w:rsidRDefault="001712A9">
      <w:pPr>
        <w:sectPr w:rsidR="001712A9">
          <w:footerReference w:type="default" r:id="rId8"/>
          <w:pgSz w:w="11906" w:h="16838" w:code="9"/>
          <w:pgMar w:top="1134" w:right="1134" w:bottom="1418" w:left="1134" w:header="567" w:footer="567" w:gutter="0"/>
          <w:cols w:space="708"/>
          <w:docGrid w:linePitch="360"/>
        </w:sectPr>
      </w:pPr>
    </w:p>
    <w:p w:rsidR="001712A9" w:rsidRDefault="001712A9">
      <w:pPr>
        <w:rPr>
          <w:rFonts w:ascii="Arial" w:hAnsi="Arial" w:cs="Arial"/>
          <w:b/>
          <w:bCs/>
          <w:kern w:val="32"/>
          <w:sz w:val="8"/>
          <w:szCs w:val="32"/>
        </w:rPr>
      </w:pPr>
      <w:bookmarkStart w:id="2" w:name="_CONTENTS"/>
      <w:bookmarkStart w:id="3" w:name="_Toc26677486"/>
      <w:bookmarkEnd w:id="2"/>
    </w:p>
    <w:p w:rsidR="001712A9" w:rsidRDefault="001712A9">
      <w:pPr>
        <w:pStyle w:val="Heading3"/>
      </w:pPr>
      <w:bookmarkStart w:id="4" w:name="_CONTENTS_1"/>
      <w:bookmarkEnd w:id="4"/>
      <w:r>
        <w:t>CONTENTS</w:t>
      </w:r>
    </w:p>
    <w:p w:rsidR="001712A9" w:rsidRDefault="001712A9"/>
    <w:p w:rsidR="001712A9" w:rsidRDefault="001712A9">
      <w:pPr>
        <w:pStyle w:val="TOC1"/>
        <w:tabs>
          <w:tab w:val="right" w:leader="dot" w:pos="4416"/>
        </w:tabs>
        <w:rPr>
          <w:rFonts w:ascii="Times New Roman" w:hAnsi="Times New Roman"/>
          <w:noProof/>
          <w:sz w:val="24"/>
          <w:lang w:val="en-GB"/>
        </w:rPr>
      </w:pPr>
      <w:r>
        <w:fldChar w:fldCharType="begin"/>
      </w:r>
      <w:r>
        <w:instrText xml:space="preserve"> TOC \o "1-1" \h \z </w:instrText>
      </w:r>
      <w:r>
        <w:fldChar w:fldCharType="separate"/>
      </w:r>
      <w:hyperlink w:anchor="_Toc29787281" w:history="1">
        <w:r>
          <w:rPr>
            <w:rStyle w:val="Hyperlink"/>
            <w:noProof/>
            <w:szCs w:val="28"/>
          </w:rPr>
          <w:t>COFORD Events for 2003</w:t>
        </w:r>
        <w:r>
          <w:rPr>
            <w:noProof/>
            <w:webHidden/>
          </w:rPr>
          <w:tab/>
        </w:r>
        <w:r>
          <w:rPr>
            <w:noProof/>
            <w:webHidden/>
          </w:rPr>
          <w:fldChar w:fldCharType="begin"/>
        </w:r>
        <w:r>
          <w:rPr>
            <w:noProof/>
            <w:webHidden/>
          </w:rPr>
          <w:instrText xml:space="preserve"> PAGEREF _Toc29787281 \h </w:instrText>
        </w:r>
        <w:r>
          <w:rPr>
            <w:noProof/>
            <w:webHidden/>
          </w:rPr>
        </w:r>
        <w:r>
          <w:rPr>
            <w:noProof/>
            <w:webHidden/>
          </w:rPr>
          <w:fldChar w:fldCharType="separate"/>
        </w:r>
        <w:r>
          <w:rPr>
            <w:noProof/>
            <w:webHidden/>
          </w:rPr>
          <w:t>1</w:t>
        </w:r>
        <w:r>
          <w:rPr>
            <w:noProof/>
            <w:webHidden/>
          </w:rPr>
          <w:fldChar w:fldCharType="end"/>
        </w:r>
      </w:hyperlink>
    </w:p>
    <w:p w:rsidR="001712A9" w:rsidRDefault="004767B5">
      <w:pPr>
        <w:pStyle w:val="TOC1"/>
        <w:tabs>
          <w:tab w:val="right" w:leader="dot" w:pos="4416"/>
        </w:tabs>
        <w:rPr>
          <w:rFonts w:ascii="Times New Roman" w:hAnsi="Times New Roman"/>
          <w:noProof/>
          <w:sz w:val="24"/>
          <w:lang w:val="en-GB"/>
        </w:rPr>
      </w:pPr>
      <w:hyperlink w:anchor="_Toc29787282" w:history="1">
        <w:r w:rsidR="001712A9">
          <w:rPr>
            <w:rStyle w:val="Hyperlink"/>
            <w:noProof/>
            <w:szCs w:val="28"/>
          </w:rPr>
          <w:t>Greetings and Wishes for 2003</w:t>
        </w:r>
        <w:r w:rsidR="001712A9">
          <w:rPr>
            <w:noProof/>
            <w:webHidden/>
          </w:rPr>
          <w:tab/>
        </w:r>
        <w:r w:rsidR="001712A9">
          <w:rPr>
            <w:noProof/>
            <w:webHidden/>
          </w:rPr>
          <w:fldChar w:fldCharType="begin"/>
        </w:r>
        <w:r w:rsidR="001712A9">
          <w:rPr>
            <w:noProof/>
            <w:webHidden/>
          </w:rPr>
          <w:instrText xml:space="preserve"> PAGEREF _Toc29787282 \h </w:instrText>
        </w:r>
        <w:r w:rsidR="001712A9">
          <w:rPr>
            <w:noProof/>
            <w:webHidden/>
          </w:rPr>
        </w:r>
        <w:r w:rsidR="001712A9">
          <w:rPr>
            <w:noProof/>
            <w:webHidden/>
          </w:rPr>
          <w:fldChar w:fldCharType="separate"/>
        </w:r>
        <w:r w:rsidR="001712A9">
          <w:rPr>
            <w:noProof/>
            <w:webHidden/>
          </w:rPr>
          <w:t>1</w:t>
        </w:r>
        <w:r w:rsidR="001712A9">
          <w:rPr>
            <w:noProof/>
            <w:webHidden/>
          </w:rPr>
          <w:fldChar w:fldCharType="end"/>
        </w:r>
      </w:hyperlink>
    </w:p>
    <w:p w:rsidR="001712A9" w:rsidRDefault="004767B5">
      <w:pPr>
        <w:pStyle w:val="TOC1"/>
        <w:tabs>
          <w:tab w:val="right" w:leader="dot" w:pos="4416"/>
        </w:tabs>
        <w:rPr>
          <w:rFonts w:ascii="Times New Roman" w:hAnsi="Times New Roman"/>
          <w:noProof/>
          <w:sz w:val="24"/>
          <w:lang w:val="en-GB"/>
        </w:rPr>
      </w:pPr>
      <w:hyperlink w:anchor="_Toc29787283" w:history="1">
        <w:r w:rsidR="001712A9">
          <w:rPr>
            <w:rStyle w:val="Hyperlink"/>
            <w:noProof/>
            <w:szCs w:val="28"/>
          </w:rPr>
          <w:t>Carbon Energy Tax to focus interest in wood biomass</w:t>
        </w:r>
        <w:r w:rsidR="001712A9">
          <w:rPr>
            <w:noProof/>
            <w:webHidden/>
          </w:rPr>
          <w:tab/>
        </w:r>
        <w:r w:rsidR="001712A9">
          <w:rPr>
            <w:noProof/>
            <w:webHidden/>
          </w:rPr>
          <w:fldChar w:fldCharType="begin"/>
        </w:r>
        <w:r w:rsidR="001712A9">
          <w:rPr>
            <w:noProof/>
            <w:webHidden/>
          </w:rPr>
          <w:instrText xml:space="preserve"> PAGEREF _Toc29787283 \h </w:instrText>
        </w:r>
        <w:r w:rsidR="001712A9">
          <w:rPr>
            <w:noProof/>
            <w:webHidden/>
          </w:rPr>
        </w:r>
        <w:r w:rsidR="001712A9">
          <w:rPr>
            <w:noProof/>
            <w:webHidden/>
          </w:rPr>
          <w:fldChar w:fldCharType="separate"/>
        </w:r>
        <w:r w:rsidR="001712A9">
          <w:rPr>
            <w:noProof/>
            <w:webHidden/>
          </w:rPr>
          <w:t>2</w:t>
        </w:r>
        <w:r w:rsidR="001712A9">
          <w:rPr>
            <w:noProof/>
            <w:webHidden/>
          </w:rPr>
          <w:fldChar w:fldCharType="end"/>
        </w:r>
      </w:hyperlink>
    </w:p>
    <w:p w:rsidR="001712A9" w:rsidRDefault="004767B5">
      <w:pPr>
        <w:pStyle w:val="TOC1"/>
        <w:tabs>
          <w:tab w:val="right" w:leader="dot" w:pos="4416"/>
        </w:tabs>
        <w:rPr>
          <w:rFonts w:ascii="Times New Roman" w:hAnsi="Times New Roman"/>
          <w:noProof/>
          <w:sz w:val="24"/>
          <w:lang w:val="en-GB"/>
        </w:rPr>
      </w:pPr>
      <w:hyperlink w:anchor="_Toc29787284" w:history="1">
        <w:r w:rsidR="001712A9">
          <w:rPr>
            <w:rStyle w:val="Hyperlink"/>
            <w:noProof/>
            <w:szCs w:val="28"/>
          </w:rPr>
          <w:t>Carbon Corner</w:t>
        </w:r>
        <w:r w:rsidR="001712A9">
          <w:rPr>
            <w:noProof/>
            <w:webHidden/>
          </w:rPr>
          <w:tab/>
        </w:r>
        <w:r w:rsidR="001712A9">
          <w:rPr>
            <w:noProof/>
            <w:webHidden/>
          </w:rPr>
          <w:fldChar w:fldCharType="begin"/>
        </w:r>
        <w:r w:rsidR="001712A9">
          <w:rPr>
            <w:noProof/>
            <w:webHidden/>
          </w:rPr>
          <w:instrText xml:space="preserve"> PAGEREF _Toc29787284 \h </w:instrText>
        </w:r>
        <w:r w:rsidR="001712A9">
          <w:rPr>
            <w:noProof/>
            <w:webHidden/>
          </w:rPr>
        </w:r>
        <w:r w:rsidR="001712A9">
          <w:rPr>
            <w:noProof/>
            <w:webHidden/>
          </w:rPr>
          <w:fldChar w:fldCharType="separate"/>
        </w:r>
        <w:r w:rsidR="001712A9">
          <w:rPr>
            <w:noProof/>
            <w:webHidden/>
          </w:rPr>
          <w:t>2</w:t>
        </w:r>
        <w:r w:rsidR="001712A9">
          <w:rPr>
            <w:noProof/>
            <w:webHidden/>
          </w:rPr>
          <w:fldChar w:fldCharType="end"/>
        </w:r>
      </w:hyperlink>
    </w:p>
    <w:p w:rsidR="001712A9" w:rsidRDefault="004767B5">
      <w:pPr>
        <w:pStyle w:val="TOC1"/>
        <w:tabs>
          <w:tab w:val="right" w:leader="dot" w:pos="4416"/>
        </w:tabs>
        <w:rPr>
          <w:rFonts w:ascii="Times New Roman" w:hAnsi="Times New Roman"/>
          <w:noProof/>
          <w:sz w:val="24"/>
          <w:lang w:val="en-GB"/>
        </w:rPr>
      </w:pPr>
      <w:hyperlink w:anchor="_Toc29787285" w:history="1">
        <w:r w:rsidR="001712A9">
          <w:rPr>
            <w:rStyle w:val="Hyperlink"/>
            <w:noProof/>
            <w:szCs w:val="28"/>
          </w:rPr>
          <w:t>National Catalogue of Seed Stands</w:t>
        </w:r>
        <w:r w:rsidR="001712A9">
          <w:rPr>
            <w:noProof/>
            <w:webHidden/>
          </w:rPr>
          <w:tab/>
        </w:r>
        <w:r w:rsidR="001712A9">
          <w:rPr>
            <w:noProof/>
            <w:webHidden/>
          </w:rPr>
          <w:fldChar w:fldCharType="begin"/>
        </w:r>
        <w:r w:rsidR="001712A9">
          <w:rPr>
            <w:noProof/>
            <w:webHidden/>
          </w:rPr>
          <w:instrText xml:space="preserve"> PAGEREF _Toc29787285 \h </w:instrText>
        </w:r>
        <w:r w:rsidR="001712A9">
          <w:rPr>
            <w:noProof/>
            <w:webHidden/>
          </w:rPr>
        </w:r>
        <w:r w:rsidR="001712A9">
          <w:rPr>
            <w:noProof/>
            <w:webHidden/>
          </w:rPr>
          <w:fldChar w:fldCharType="separate"/>
        </w:r>
        <w:r w:rsidR="001712A9">
          <w:rPr>
            <w:noProof/>
            <w:webHidden/>
          </w:rPr>
          <w:t>3</w:t>
        </w:r>
        <w:r w:rsidR="001712A9">
          <w:rPr>
            <w:noProof/>
            <w:webHidden/>
          </w:rPr>
          <w:fldChar w:fldCharType="end"/>
        </w:r>
      </w:hyperlink>
    </w:p>
    <w:p w:rsidR="001712A9" w:rsidRDefault="004767B5">
      <w:pPr>
        <w:pStyle w:val="TOC1"/>
        <w:tabs>
          <w:tab w:val="right" w:leader="dot" w:pos="4416"/>
        </w:tabs>
        <w:rPr>
          <w:rFonts w:ascii="Times New Roman" w:hAnsi="Times New Roman"/>
          <w:noProof/>
          <w:sz w:val="24"/>
          <w:lang w:val="en-GB"/>
        </w:rPr>
      </w:pPr>
      <w:hyperlink w:anchor="_Toc29787286" w:history="1">
        <w:r w:rsidR="001712A9">
          <w:rPr>
            <w:rStyle w:val="Hyperlink"/>
            <w:noProof/>
            <w:szCs w:val="28"/>
          </w:rPr>
          <w:t>BIHIP AGM and Conference on  “Tree improvement and regional diversity”</w:t>
        </w:r>
        <w:r w:rsidR="001712A9">
          <w:rPr>
            <w:noProof/>
            <w:webHidden/>
          </w:rPr>
          <w:tab/>
        </w:r>
        <w:r w:rsidR="001712A9">
          <w:rPr>
            <w:noProof/>
            <w:webHidden/>
          </w:rPr>
          <w:fldChar w:fldCharType="begin"/>
        </w:r>
        <w:r w:rsidR="001712A9">
          <w:rPr>
            <w:noProof/>
            <w:webHidden/>
          </w:rPr>
          <w:instrText xml:space="preserve"> PAGEREF _Toc29787286 \h </w:instrText>
        </w:r>
        <w:r w:rsidR="001712A9">
          <w:rPr>
            <w:noProof/>
            <w:webHidden/>
          </w:rPr>
        </w:r>
        <w:r w:rsidR="001712A9">
          <w:rPr>
            <w:noProof/>
            <w:webHidden/>
          </w:rPr>
          <w:fldChar w:fldCharType="separate"/>
        </w:r>
        <w:r w:rsidR="001712A9">
          <w:rPr>
            <w:noProof/>
            <w:webHidden/>
          </w:rPr>
          <w:t>3</w:t>
        </w:r>
        <w:r w:rsidR="001712A9">
          <w:rPr>
            <w:noProof/>
            <w:webHidden/>
          </w:rPr>
          <w:fldChar w:fldCharType="end"/>
        </w:r>
      </w:hyperlink>
    </w:p>
    <w:p w:rsidR="001712A9" w:rsidRDefault="004767B5">
      <w:pPr>
        <w:pStyle w:val="TOC1"/>
        <w:tabs>
          <w:tab w:val="right" w:leader="dot" w:pos="4416"/>
        </w:tabs>
        <w:rPr>
          <w:rFonts w:ascii="Times New Roman" w:hAnsi="Times New Roman"/>
          <w:noProof/>
          <w:sz w:val="24"/>
          <w:lang w:val="en-GB"/>
        </w:rPr>
      </w:pPr>
      <w:hyperlink w:anchor="_Toc29787287" w:history="1">
        <w:r w:rsidR="001712A9">
          <w:rPr>
            <w:rStyle w:val="Hyperlink"/>
            <w:noProof/>
            <w:szCs w:val="28"/>
          </w:rPr>
          <w:t>European Commission calls for experts to evaluate scientific projects</w:t>
        </w:r>
        <w:r w:rsidR="001712A9">
          <w:rPr>
            <w:noProof/>
            <w:webHidden/>
          </w:rPr>
          <w:tab/>
        </w:r>
        <w:r w:rsidR="001712A9">
          <w:rPr>
            <w:noProof/>
            <w:webHidden/>
          </w:rPr>
          <w:fldChar w:fldCharType="begin"/>
        </w:r>
        <w:r w:rsidR="001712A9">
          <w:rPr>
            <w:noProof/>
            <w:webHidden/>
          </w:rPr>
          <w:instrText xml:space="preserve"> PAGEREF _Toc29787287 \h </w:instrText>
        </w:r>
        <w:r w:rsidR="001712A9">
          <w:rPr>
            <w:noProof/>
            <w:webHidden/>
          </w:rPr>
        </w:r>
        <w:r w:rsidR="001712A9">
          <w:rPr>
            <w:noProof/>
            <w:webHidden/>
          </w:rPr>
          <w:fldChar w:fldCharType="separate"/>
        </w:r>
        <w:r w:rsidR="001712A9">
          <w:rPr>
            <w:noProof/>
            <w:webHidden/>
          </w:rPr>
          <w:t>5</w:t>
        </w:r>
        <w:r w:rsidR="001712A9">
          <w:rPr>
            <w:noProof/>
            <w:webHidden/>
          </w:rPr>
          <w:fldChar w:fldCharType="end"/>
        </w:r>
      </w:hyperlink>
    </w:p>
    <w:p w:rsidR="001712A9" w:rsidRDefault="004767B5">
      <w:pPr>
        <w:pStyle w:val="TOC1"/>
        <w:tabs>
          <w:tab w:val="right" w:leader="dot" w:pos="4416"/>
        </w:tabs>
        <w:rPr>
          <w:rFonts w:ascii="Times New Roman" w:hAnsi="Times New Roman"/>
          <w:noProof/>
          <w:sz w:val="24"/>
          <w:lang w:val="en-GB"/>
        </w:rPr>
      </w:pPr>
      <w:hyperlink w:anchor="_Toc29787288" w:history="1">
        <w:r w:rsidR="001712A9">
          <w:rPr>
            <w:rStyle w:val="Hyperlink"/>
            <w:noProof/>
            <w:szCs w:val="28"/>
          </w:rPr>
          <w:t>Irish Electricity –  A Directory and Guide</w:t>
        </w:r>
        <w:r w:rsidR="001712A9">
          <w:rPr>
            <w:noProof/>
            <w:webHidden/>
          </w:rPr>
          <w:tab/>
        </w:r>
        <w:r w:rsidR="001712A9">
          <w:rPr>
            <w:noProof/>
            <w:webHidden/>
          </w:rPr>
          <w:fldChar w:fldCharType="begin"/>
        </w:r>
        <w:r w:rsidR="001712A9">
          <w:rPr>
            <w:noProof/>
            <w:webHidden/>
          </w:rPr>
          <w:instrText xml:space="preserve"> PAGEREF _Toc29787288 \h </w:instrText>
        </w:r>
        <w:r w:rsidR="001712A9">
          <w:rPr>
            <w:noProof/>
            <w:webHidden/>
          </w:rPr>
        </w:r>
        <w:r w:rsidR="001712A9">
          <w:rPr>
            <w:noProof/>
            <w:webHidden/>
          </w:rPr>
          <w:fldChar w:fldCharType="separate"/>
        </w:r>
        <w:r w:rsidR="001712A9">
          <w:rPr>
            <w:noProof/>
            <w:webHidden/>
          </w:rPr>
          <w:t>6</w:t>
        </w:r>
        <w:r w:rsidR="001712A9">
          <w:rPr>
            <w:noProof/>
            <w:webHidden/>
          </w:rPr>
          <w:fldChar w:fldCharType="end"/>
        </w:r>
      </w:hyperlink>
    </w:p>
    <w:p w:rsidR="001712A9" w:rsidRDefault="004767B5">
      <w:pPr>
        <w:pStyle w:val="TOC1"/>
        <w:tabs>
          <w:tab w:val="right" w:leader="dot" w:pos="4416"/>
        </w:tabs>
        <w:rPr>
          <w:rFonts w:ascii="Times New Roman" w:hAnsi="Times New Roman"/>
          <w:noProof/>
          <w:sz w:val="24"/>
          <w:lang w:val="en-GB"/>
        </w:rPr>
      </w:pPr>
      <w:hyperlink w:anchor="_Toc29787289" w:history="1">
        <w:r w:rsidR="001712A9">
          <w:rPr>
            <w:rStyle w:val="Hyperlink"/>
            <w:noProof/>
            <w:szCs w:val="28"/>
            <w:lang w:val="en-US"/>
          </w:rPr>
          <w:t>Congress on “Globalisation, localisation and tropical forest management in the 21st century”</w:t>
        </w:r>
        <w:r w:rsidR="001712A9">
          <w:rPr>
            <w:noProof/>
            <w:webHidden/>
          </w:rPr>
          <w:tab/>
        </w:r>
        <w:r w:rsidR="001712A9">
          <w:rPr>
            <w:noProof/>
            <w:webHidden/>
          </w:rPr>
          <w:fldChar w:fldCharType="begin"/>
        </w:r>
        <w:r w:rsidR="001712A9">
          <w:rPr>
            <w:noProof/>
            <w:webHidden/>
          </w:rPr>
          <w:instrText xml:space="preserve"> PAGEREF _Toc29787289 \h </w:instrText>
        </w:r>
        <w:r w:rsidR="001712A9">
          <w:rPr>
            <w:noProof/>
            <w:webHidden/>
          </w:rPr>
        </w:r>
        <w:r w:rsidR="001712A9">
          <w:rPr>
            <w:noProof/>
            <w:webHidden/>
          </w:rPr>
          <w:fldChar w:fldCharType="separate"/>
        </w:r>
        <w:r w:rsidR="001712A9">
          <w:rPr>
            <w:noProof/>
            <w:webHidden/>
          </w:rPr>
          <w:t>6</w:t>
        </w:r>
        <w:r w:rsidR="001712A9">
          <w:rPr>
            <w:noProof/>
            <w:webHidden/>
          </w:rPr>
          <w:fldChar w:fldCharType="end"/>
        </w:r>
      </w:hyperlink>
    </w:p>
    <w:p w:rsidR="001712A9" w:rsidRDefault="004767B5">
      <w:pPr>
        <w:pStyle w:val="TOC1"/>
        <w:tabs>
          <w:tab w:val="right" w:leader="dot" w:pos="4416"/>
        </w:tabs>
        <w:rPr>
          <w:rFonts w:ascii="Times New Roman" w:hAnsi="Times New Roman"/>
          <w:noProof/>
          <w:sz w:val="24"/>
          <w:lang w:val="en-GB"/>
        </w:rPr>
      </w:pPr>
      <w:hyperlink w:anchor="_Toc29787290" w:history="1">
        <w:r w:rsidR="001712A9">
          <w:rPr>
            <w:rStyle w:val="Hyperlink"/>
            <w:noProof/>
            <w:szCs w:val="28"/>
          </w:rPr>
          <w:t>International Conference:  Forest Research Crossing Borders</w:t>
        </w:r>
        <w:r w:rsidR="001712A9">
          <w:rPr>
            <w:noProof/>
            <w:webHidden/>
          </w:rPr>
          <w:tab/>
        </w:r>
        <w:r w:rsidR="001712A9">
          <w:rPr>
            <w:noProof/>
            <w:webHidden/>
          </w:rPr>
          <w:fldChar w:fldCharType="begin"/>
        </w:r>
        <w:r w:rsidR="001712A9">
          <w:rPr>
            <w:noProof/>
            <w:webHidden/>
          </w:rPr>
          <w:instrText xml:space="preserve"> PAGEREF _Toc29787290 \h </w:instrText>
        </w:r>
        <w:r w:rsidR="001712A9">
          <w:rPr>
            <w:noProof/>
            <w:webHidden/>
          </w:rPr>
        </w:r>
        <w:r w:rsidR="001712A9">
          <w:rPr>
            <w:noProof/>
            <w:webHidden/>
          </w:rPr>
          <w:fldChar w:fldCharType="separate"/>
        </w:r>
        <w:r w:rsidR="001712A9">
          <w:rPr>
            <w:noProof/>
            <w:webHidden/>
          </w:rPr>
          <w:t>7</w:t>
        </w:r>
        <w:r w:rsidR="001712A9">
          <w:rPr>
            <w:noProof/>
            <w:webHidden/>
          </w:rPr>
          <w:fldChar w:fldCharType="end"/>
        </w:r>
      </w:hyperlink>
    </w:p>
    <w:p w:rsidR="001712A9" w:rsidRDefault="004767B5">
      <w:pPr>
        <w:pStyle w:val="TOC1"/>
        <w:tabs>
          <w:tab w:val="right" w:leader="dot" w:pos="4416"/>
        </w:tabs>
        <w:rPr>
          <w:rFonts w:ascii="Times New Roman" w:hAnsi="Times New Roman"/>
          <w:noProof/>
          <w:sz w:val="24"/>
          <w:lang w:val="en-GB"/>
        </w:rPr>
      </w:pPr>
      <w:hyperlink w:anchor="_Toc29787291" w:history="1">
        <w:r w:rsidR="001712A9">
          <w:rPr>
            <w:rStyle w:val="Hyperlink"/>
            <w:noProof/>
            <w:szCs w:val="28"/>
            <w:lang w:val="en-US"/>
          </w:rPr>
          <w:t>International Conference: Issues of hardwood research and utilization in Europe</w:t>
        </w:r>
        <w:r w:rsidR="001712A9">
          <w:rPr>
            <w:noProof/>
            <w:webHidden/>
          </w:rPr>
          <w:tab/>
        </w:r>
        <w:r w:rsidR="001712A9">
          <w:rPr>
            <w:noProof/>
            <w:webHidden/>
          </w:rPr>
          <w:fldChar w:fldCharType="begin"/>
        </w:r>
        <w:r w:rsidR="001712A9">
          <w:rPr>
            <w:noProof/>
            <w:webHidden/>
          </w:rPr>
          <w:instrText xml:space="preserve"> PAGEREF _Toc29787291 \h </w:instrText>
        </w:r>
        <w:r w:rsidR="001712A9">
          <w:rPr>
            <w:noProof/>
            <w:webHidden/>
          </w:rPr>
        </w:r>
        <w:r w:rsidR="001712A9">
          <w:rPr>
            <w:noProof/>
            <w:webHidden/>
          </w:rPr>
          <w:fldChar w:fldCharType="separate"/>
        </w:r>
        <w:r w:rsidR="001712A9">
          <w:rPr>
            <w:noProof/>
            <w:webHidden/>
          </w:rPr>
          <w:t>7</w:t>
        </w:r>
        <w:r w:rsidR="001712A9">
          <w:rPr>
            <w:noProof/>
            <w:webHidden/>
          </w:rPr>
          <w:fldChar w:fldCharType="end"/>
        </w:r>
      </w:hyperlink>
    </w:p>
    <w:p w:rsidR="001712A9" w:rsidRDefault="004767B5">
      <w:pPr>
        <w:pStyle w:val="TOC1"/>
        <w:tabs>
          <w:tab w:val="right" w:leader="dot" w:pos="4416"/>
        </w:tabs>
        <w:rPr>
          <w:rFonts w:ascii="Times New Roman" w:hAnsi="Times New Roman"/>
          <w:noProof/>
          <w:sz w:val="24"/>
          <w:lang w:val="en-GB"/>
        </w:rPr>
      </w:pPr>
      <w:hyperlink w:anchor="_Toc29787292" w:history="1">
        <w:r w:rsidR="001712A9">
          <w:rPr>
            <w:rStyle w:val="Hyperlink"/>
            <w:noProof/>
            <w:szCs w:val="28"/>
            <w:lang w:val="en-US"/>
          </w:rPr>
          <w:t>International seminar: Investment opportunities in the Australian forest sector</w:t>
        </w:r>
        <w:r w:rsidR="001712A9">
          <w:rPr>
            <w:noProof/>
            <w:webHidden/>
          </w:rPr>
          <w:tab/>
        </w:r>
        <w:r w:rsidR="001712A9">
          <w:rPr>
            <w:noProof/>
            <w:webHidden/>
          </w:rPr>
          <w:fldChar w:fldCharType="begin"/>
        </w:r>
        <w:r w:rsidR="001712A9">
          <w:rPr>
            <w:noProof/>
            <w:webHidden/>
          </w:rPr>
          <w:instrText xml:space="preserve"> PAGEREF _Toc29787292 \h </w:instrText>
        </w:r>
        <w:r w:rsidR="001712A9">
          <w:rPr>
            <w:noProof/>
            <w:webHidden/>
          </w:rPr>
        </w:r>
        <w:r w:rsidR="001712A9">
          <w:rPr>
            <w:noProof/>
            <w:webHidden/>
          </w:rPr>
          <w:fldChar w:fldCharType="separate"/>
        </w:r>
        <w:r w:rsidR="001712A9">
          <w:rPr>
            <w:noProof/>
            <w:webHidden/>
          </w:rPr>
          <w:t>7</w:t>
        </w:r>
        <w:r w:rsidR="001712A9">
          <w:rPr>
            <w:noProof/>
            <w:webHidden/>
          </w:rPr>
          <w:fldChar w:fldCharType="end"/>
        </w:r>
      </w:hyperlink>
    </w:p>
    <w:p w:rsidR="001712A9" w:rsidRPr="00BC2D9A" w:rsidRDefault="001712A9" w:rsidP="00BC2D9A">
      <w:pPr>
        <w:pStyle w:val="TOC1"/>
        <w:rPr>
          <w:rStyle w:val="Emphasis"/>
        </w:rPr>
      </w:pPr>
      <w:r>
        <w:fldChar w:fldCharType="end"/>
      </w:r>
      <w:r w:rsidRPr="00BC2D9A">
        <w:rPr>
          <w:rStyle w:val="Emphasis"/>
        </w:rPr>
        <w:t xml:space="preserve">COFORD </w:t>
      </w:r>
    </w:p>
    <w:p w:rsidR="001712A9" w:rsidRDefault="001712A9">
      <w:pPr>
        <w:spacing w:line="240" w:lineRule="auto"/>
        <w:jc w:val="center"/>
        <w:rPr>
          <w:rFonts w:ascii="Arial" w:hAnsi="Arial" w:cs="Arial"/>
          <w:sz w:val="18"/>
        </w:rPr>
      </w:pPr>
      <w:smartTag w:uri="urn:schemas-microsoft-com:office:smarttags" w:element="PlaceName">
        <w:r>
          <w:rPr>
            <w:rFonts w:ascii="Arial" w:hAnsi="Arial" w:cs="Arial"/>
            <w:sz w:val="18"/>
          </w:rPr>
          <w:t>Agriculture</w:t>
        </w:r>
      </w:smartTag>
      <w:r>
        <w:rPr>
          <w:rFonts w:ascii="Arial" w:hAnsi="Arial" w:cs="Arial"/>
          <w:sz w:val="18"/>
        </w:rPr>
        <w:t xml:space="preserve"> </w:t>
      </w:r>
      <w:smartTag w:uri="urn:schemas-microsoft-com:office:smarttags" w:element="PlaceType">
        <w:r>
          <w:rPr>
            <w:rFonts w:ascii="Arial" w:hAnsi="Arial" w:cs="Arial"/>
            <w:sz w:val="18"/>
          </w:rPr>
          <w:t>Building</w:t>
        </w:r>
      </w:smartTag>
      <w:r>
        <w:rPr>
          <w:rFonts w:ascii="Arial" w:hAnsi="Arial" w:cs="Arial"/>
          <w:sz w:val="18"/>
        </w:rPr>
        <w:t xml:space="preserve">, Belfield, </w:t>
      </w:r>
      <w:smartTag w:uri="urn:schemas-microsoft-com:office:smarttags" w:element="City">
        <w:r>
          <w:rPr>
            <w:rFonts w:ascii="Arial" w:hAnsi="Arial" w:cs="Arial"/>
            <w:sz w:val="18"/>
          </w:rPr>
          <w:t>Dublin</w:t>
        </w:r>
      </w:smartTag>
      <w:r>
        <w:rPr>
          <w:rFonts w:ascii="Arial" w:hAnsi="Arial" w:cs="Arial"/>
          <w:sz w:val="18"/>
        </w:rPr>
        <w:t xml:space="preserve"> 4, </w:t>
      </w:r>
      <w:smartTag w:uri="urn:schemas-microsoft-com:office:smarttags" w:element="country-region">
        <w:smartTag w:uri="urn:schemas-microsoft-com:office:smarttags" w:element="place">
          <w:r>
            <w:rPr>
              <w:rFonts w:ascii="Arial" w:hAnsi="Arial" w:cs="Arial"/>
              <w:sz w:val="18"/>
            </w:rPr>
            <w:t>Ireland</w:t>
          </w:r>
        </w:smartTag>
      </w:smartTag>
      <w:r>
        <w:rPr>
          <w:rFonts w:ascii="Arial" w:hAnsi="Arial" w:cs="Arial"/>
          <w:sz w:val="18"/>
        </w:rPr>
        <w:t>.</w:t>
      </w:r>
    </w:p>
    <w:p w:rsidR="00BC2D9A" w:rsidRDefault="001712A9">
      <w:pPr>
        <w:spacing w:line="240" w:lineRule="auto"/>
        <w:jc w:val="center"/>
        <w:rPr>
          <w:rFonts w:ascii="Arial" w:hAnsi="Arial" w:cs="Arial"/>
          <w:sz w:val="18"/>
        </w:rPr>
      </w:pPr>
      <w:r>
        <w:rPr>
          <w:rFonts w:ascii="Arial" w:hAnsi="Arial" w:cs="Arial"/>
          <w:sz w:val="18"/>
        </w:rPr>
        <w:t>Tel: (01) 7167700</w:t>
      </w:r>
    </w:p>
    <w:p w:rsidR="001712A9" w:rsidRDefault="001712A9">
      <w:pPr>
        <w:spacing w:line="240" w:lineRule="auto"/>
        <w:jc w:val="center"/>
        <w:rPr>
          <w:rFonts w:ascii="Arial" w:hAnsi="Arial" w:cs="Arial"/>
          <w:sz w:val="18"/>
        </w:rPr>
      </w:pPr>
      <w:r>
        <w:rPr>
          <w:rFonts w:ascii="Arial" w:hAnsi="Arial" w:cs="Arial"/>
          <w:sz w:val="18"/>
        </w:rPr>
        <w:t>Fax: (01) 7161180</w:t>
      </w:r>
    </w:p>
    <w:p w:rsidR="001712A9" w:rsidRDefault="001712A9">
      <w:pPr>
        <w:spacing w:line="240" w:lineRule="auto"/>
        <w:jc w:val="center"/>
        <w:rPr>
          <w:rFonts w:ascii="Arial" w:hAnsi="Arial" w:cs="Arial"/>
          <w:sz w:val="18"/>
        </w:rPr>
      </w:pPr>
      <w:r>
        <w:rPr>
          <w:rFonts w:ascii="Arial" w:hAnsi="Arial" w:cs="Arial"/>
          <w:sz w:val="18"/>
        </w:rPr>
        <w:t xml:space="preserve">Email: </w:t>
      </w:r>
      <w:hyperlink r:id="rId9" w:history="1">
        <w:r>
          <w:rPr>
            <w:rStyle w:val="Hyperlink"/>
            <w:rFonts w:ascii="Arial" w:hAnsi="Arial" w:cs="Arial"/>
            <w:sz w:val="18"/>
          </w:rPr>
          <w:t>info@coford.ie</w:t>
        </w:r>
      </w:hyperlink>
      <w:r>
        <w:rPr>
          <w:rFonts w:ascii="Arial" w:hAnsi="Arial" w:cs="Arial"/>
          <w:sz w:val="18"/>
        </w:rPr>
        <w:t xml:space="preserve"> </w:t>
      </w:r>
      <w:r>
        <w:rPr>
          <w:rFonts w:ascii="Arial" w:hAnsi="Arial" w:cs="Arial"/>
          <w:sz w:val="18"/>
        </w:rPr>
        <w:tab/>
        <w:t xml:space="preserve">Web: </w:t>
      </w:r>
      <w:hyperlink r:id="rId10" w:history="1">
        <w:r>
          <w:rPr>
            <w:rStyle w:val="Hyperlink"/>
            <w:rFonts w:ascii="Arial" w:hAnsi="Arial" w:cs="Arial"/>
            <w:sz w:val="18"/>
          </w:rPr>
          <w:t>www.coford.ie</w:t>
        </w:r>
      </w:hyperlink>
    </w:p>
    <w:p w:rsidR="001712A9" w:rsidRDefault="002B7961" w:rsidP="00BC2D9A">
      <w:pPr>
        <w:spacing w:line="240" w:lineRule="auto"/>
        <w:jc w:val="center"/>
      </w:pPr>
      <w:r>
        <w:rPr>
          <w:rFonts w:cs="Arial"/>
          <w:noProof/>
          <w:sz w:val="18"/>
          <w:lang w:eastAsia="en-IE"/>
        </w:rPr>
        <mc:AlternateContent>
          <mc:Choice Requires="wps">
            <w:drawing>
              <wp:inline distT="0" distB="0" distL="0" distR="0">
                <wp:extent cx="1144905" cy="571500"/>
                <wp:effectExtent l="0" t="0" r="0" b="0"/>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12A9" w:rsidRDefault="001712A9">
                            <w:pPr>
                              <w:jc w:val="center"/>
                              <w:rPr>
                                <w:sz w:val="18"/>
                              </w:rPr>
                            </w:pPr>
                            <w:r>
                              <w:object w:dxaOrig="8999" w:dyaOrig="3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32.25pt" o:ole="" fillcolor="window">
                                  <v:imagedata r:id="rId11" o:title=""/>
                                </v:shape>
                                <o:OLEObject Type="Embed" ProgID="MSPhotoEd.3" ShapeID="_x0000_i1025" DrawAspect="Content" ObjectID="_1498289697" r:id="rId12"/>
                              </w:object>
                            </w:r>
                            <w:r>
                              <w:rPr>
                                <w:sz w:val="18"/>
                              </w:rPr>
                              <w:t xml:space="preserve"> </w:t>
                            </w:r>
                          </w:p>
                          <w:p w:rsidR="001712A9" w:rsidRDefault="001712A9"/>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7" o:spid="_x0000_s1026" type="#_x0000_t202" style="width:90.1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" stroked="f">
                <v:textbox>
                  <w:txbxContent>
                    <w:p w:rsidR="001712A9" w:rsidRDefault="001712A9">
                      <w:pPr>
                        <w:jc w:val="center"/>
                        <w:rPr>
                          <w:sz w:val="18"/>
                        </w:rPr>
                      </w:pPr>
                      <w:r>
                        <w:object w:dxaOrig="8999" w:dyaOrig="3615">
                          <v:shape id="_x0000_i1025" type="#_x0000_t75" style="width:73.5pt;height:32.25pt" o:ole="" fillcolor="window">
                            <v:imagedata r:id="rId11" o:title=""/>
                          </v:shape>
                          <o:OLEObject Type="Embed" ProgID="MSPhotoEd.3" ShapeID="_x0000_i1025" DrawAspect="Content" ObjectID="_1498289697" r:id="rId13"/>
                        </w:object>
                      </w:r>
                      <w:r>
                        <w:rPr>
                          <w:sz w:val="18"/>
                        </w:rPr>
                        <w:t xml:space="preserve"> </w:t>
                      </w:r>
                    </w:p>
                    <w:p w:rsidR="001712A9" w:rsidRDefault="001712A9"/>
                  </w:txbxContent>
                </v:textbox>
                <w10:anchorlock/>
              </v:shape>
            </w:pict>
          </mc:Fallback>
        </mc:AlternateContent>
      </w:r>
      <w:r w:rsidR="001712A9">
        <w:rPr>
          <w:sz w:val="16"/>
        </w:rPr>
        <w:t>COFORD’s Activities are funded by the Irish Government under the National Development Plan, 2000-2006.</w:t>
      </w:r>
    </w:p>
    <w:p w:rsidR="001712A9" w:rsidRDefault="001712A9">
      <w:pPr>
        <w:jc w:val="left"/>
        <w:rPr>
          <w:sz w:val="18"/>
        </w:rPr>
      </w:pPr>
      <w:r>
        <w:rPr>
          <w:sz w:val="18"/>
        </w:rPr>
        <w:t xml:space="preserve">To unsubscribe to this newsletter, reply to info@coford.ie </w:t>
      </w:r>
      <w:r>
        <w:rPr>
          <w:sz w:val="18"/>
        </w:rPr>
        <w:br/>
        <w:t>with the word 'unsubscribe' in the subject field.</w:t>
      </w:r>
    </w:p>
    <w:p w:rsidR="001712A9" w:rsidRDefault="001712A9">
      <w:pPr>
        <w:jc w:val="left"/>
        <w:rPr>
          <w:rFonts w:ascii="Tahoma" w:hAnsi="Tahoma" w:cs="Tahoma"/>
          <w:sz w:val="16"/>
        </w:rPr>
      </w:pPr>
    </w:p>
    <w:p w:rsidR="001712A9" w:rsidRDefault="001712A9">
      <w:pPr>
        <w:jc w:val="left"/>
        <w:rPr>
          <w:rFonts w:ascii="Tahoma" w:hAnsi="Tahoma" w:cs="Tahoma"/>
          <w:sz w:val="16"/>
        </w:rPr>
      </w:pPr>
      <w:r>
        <w:rPr>
          <w:rFonts w:ascii="Tahoma" w:hAnsi="Tahoma" w:cs="Tahoma"/>
          <w:sz w:val="16"/>
        </w:rPr>
        <w:t xml:space="preserve">This newsletter was compiled and edited by Lauren MacLennan, Technology Transfer Co-ordinator. </w:t>
      </w:r>
    </w:p>
    <w:p w:rsidR="001712A9" w:rsidRDefault="001712A9">
      <w:pPr>
        <w:jc w:val="left"/>
        <w:rPr>
          <w:rFonts w:ascii="Tahoma" w:hAnsi="Tahoma" w:cs="Tahoma"/>
          <w:sz w:val="16"/>
        </w:rPr>
      </w:pPr>
      <w:r>
        <w:rPr>
          <w:rFonts w:ascii="Tahoma" w:hAnsi="Tahoma" w:cs="Tahoma"/>
          <w:sz w:val="16"/>
        </w:rPr>
        <w:t xml:space="preserve">Email: </w:t>
      </w:r>
      <w:hyperlink r:id="rId14" w:history="1">
        <w:r>
          <w:rPr>
            <w:rFonts w:ascii="Tahoma" w:hAnsi="Tahoma" w:cs="Tahoma"/>
            <w:sz w:val="16"/>
          </w:rPr>
          <w:t>lauren.maclennan@coford.ie</w:t>
        </w:r>
      </w:hyperlink>
    </w:p>
    <w:p w:rsidR="001712A9" w:rsidRDefault="001712A9">
      <w:pPr>
        <w:rPr>
          <w:sz w:val="8"/>
        </w:rPr>
      </w:pPr>
      <w:r>
        <w:br w:type="column"/>
      </w:r>
    </w:p>
    <w:p w:rsidR="001712A9" w:rsidRDefault="001712A9">
      <w:pPr>
        <w:pStyle w:val="Heading1"/>
      </w:pPr>
      <w:bookmarkStart w:id="5" w:name="_Toc29787281"/>
      <w:r>
        <w:t>COFORD Events for 2003</w:t>
      </w:r>
      <w:bookmarkEnd w:id="3"/>
      <w:bookmarkEnd w:id="5"/>
    </w:p>
    <w:p w:rsidR="001712A9" w:rsidRDefault="001712A9">
      <w:pPr>
        <w:pBdr>
          <w:bottom w:val="single" w:sz="12" w:space="0" w:color="008000"/>
          <w:between w:val="single" w:sz="12" w:space="1" w:color="008000"/>
        </w:pBdr>
        <w:tabs>
          <w:tab w:val="left" w:pos="1440"/>
          <w:tab w:val="left" w:pos="6228"/>
          <w:tab w:val="left" w:pos="8388"/>
        </w:tabs>
        <w:spacing w:line="240" w:lineRule="auto"/>
        <w:ind w:left="1440" w:hanging="1440"/>
        <w:rPr>
          <w:sz w:val="10"/>
        </w:rPr>
      </w:pPr>
    </w:p>
    <w:p w:rsidR="001712A9" w:rsidRDefault="001712A9">
      <w:pPr>
        <w:pBdr>
          <w:bottom w:val="single" w:sz="12" w:space="0" w:color="008000"/>
          <w:between w:val="single" w:sz="12" w:space="1" w:color="008000"/>
        </w:pBdr>
        <w:tabs>
          <w:tab w:val="left" w:pos="1440"/>
          <w:tab w:val="left" w:pos="6228"/>
          <w:tab w:val="left" w:pos="8388"/>
        </w:tabs>
        <w:spacing w:line="240" w:lineRule="auto"/>
        <w:ind w:left="1440" w:hanging="1440"/>
        <w:jc w:val="left"/>
      </w:pPr>
      <w:r>
        <w:t xml:space="preserve">21 March: </w:t>
      </w:r>
      <w:r>
        <w:tab/>
        <w:t>Forestry and land use planning – policy and practice.</w:t>
      </w:r>
    </w:p>
    <w:p w:rsidR="001712A9" w:rsidRDefault="001712A9">
      <w:pPr>
        <w:pBdr>
          <w:bottom w:val="single" w:sz="12" w:space="0" w:color="008000"/>
          <w:between w:val="single" w:sz="12" w:space="1" w:color="008000"/>
        </w:pBdr>
        <w:tabs>
          <w:tab w:val="left" w:pos="1440"/>
          <w:tab w:val="left" w:pos="6228"/>
          <w:tab w:val="left" w:pos="8388"/>
        </w:tabs>
        <w:spacing w:line="240" w:lineRule="auto"/>
        <w:ind w:left="1440" w:hanging="1440"/>
        <w:jc w:val="left"/>
      </w:pPr>
      <w:r>
        <w:t>3 April:</w:t>
      </w:r>
      <w:r>
        <w:tab/>
        <w:t>Effective use of recovered wood.</w:t>
      </w:r>
    </w:p>
    <w:p w:rsidR="001712A9" w:rsidRDefault="001712A9">
      <w:pPr>
        <w:pBdr>
          <w:bottom w:val="single" w:sz="12" w:space="0" w:color="008000"/>
          <w:between w:val="single" w:sz="12" w:space="1" w:color="008000"/>
        </w:pBdr>
        <w:tabs>
          <w:tab w:val="left" w:pos="1440"/>
          <w:tab w:val="left" w:pos="6228"/>
          <w:tab w:val="left" w:pos="8388"/>
        </w:tabs>
        <w:spacing w:line="240" w:lineRule="auto"/>
        <w:ind w:left="1440" w:hanging="1440"/>
        <w:jc w:val="left"/>
      </w:pPr>
      <w:r>
        <w:t>10-11 April:</w:t>
      </w:r>
      <w:r>
        <w:tab/>
        <w:t>Managing our broadleaf resource to produce quality hardwood timber.</w:t>
      </w:r>
    </w:p>
    <w:p w:rsidR="001712A9" w:rsidRDefault="001712A9">
      <w:pPr>
        <w:pBdr>
          <w:bottom w:val="single" w:sz="12" w:space="0" w:color="008000"/>
          <w:between w:val="single" w:sz="12" w:space="1" w:color="008000"/>
        </w:pBdr>
        <w:tabs>
          <w:tab w:val="left" w:pos="1440"/>
          <w:tab w:val="left" w:pos="6228"/>
          <w:tab w:val="left" w:pos="8388"/>
        </w:tabs>
        <w:spacing w:line="240" w:lineRule="auto"/>
        <w:ind w:left="1440" w:hanging="1440"/>
        <w:jc w:val="left"/>
      </w:pPr>
      <w:r>
        <w:t xml:space="preserve">25 April: </w:t>
      </w:r>
      <w:r>
        <w:tab/>
        <w:t>Advances in wood preservation.</w:t>
      </w:r>
    </w:p>
    <w:p w:rsidR="001712A9" w:rsidRDefault="001712A9">
      <w:pPr>
        <w:pBdr>
          <w:bottom w:val="single" w:sz="12" w:space="0" w:color="008000"/>
          <w:between w:val="single" w:sz="12" w:space="1" w:color="008000"/>
        </w:pBdr>
        <w:tabs>
          <w:tab w:val="left" w:pos="1440"/>
          <w:tab w:val="left" w:pos="6228"/>
          <w:tab w:val="left" w:pos="8388"/>
        </w:tabs>
        <w:spacing w:line="240" w:lineRule="auto"/>
        <w:ind w:left="1440" w:hanging="1440"/>
        <w:jc w:val="left"/>
      </w:pPr>
      <w:r>
        <w:t>8-9 May:</w:t>
      </w:r>
      <w:r>
        <w:tab/>
        <w:t>Managing our broadleaf resource to produce quality hardwood timber.</w:t>
      </w:r>
      <w:r>
        <w:br/>
        <w:t xml:space="preserve">(to be held in </w:t>
      </w:r>
      <w:smartTag w:uri="urn:schemas-microsoft-com:office:smarttags" w:element="country-region">
        <w:smartTag w:uri="urn:schemas-microsoft-com:office:smarttags" w:element="place">
          <w:r>
            <w:t>Northern Ireland</w:t>
          </w:r>
        </w:smartTag>
      </w:smartTag>
      <w:r>
        <w:t>)</w:t>
      </w:r>
    </w:p>
    <w:p w:rsidR="001712A9" w:rsidRDefault="001712A9">
      <w:pPr>
        <w:pBdr>
          <w:bottom w:val="single" w:sz="12" w:space="0" w:color="008000"/>
          <w:between w:val="single" w:sz="12" w:space="1" w:color="008000"/>
        </w:pBdr>
        <w:tabs>
          <w:tab w:val="left" w:pos="1440"/>
          <w:tab w:val="left" w:pos="6228"/>
          <w:tab w:val="left" w:pos="8388"/>
        </w:tabs>
        <w:spacing w:line="240" w:lineRule="auto"/>
        <w:ind w:left="1440" w:hanging="1440"/>
        <w:jc w:val="left"/>
      </w:pPr>
      <w:r>
        <w:t>6 June:</w:t>
      </w:r>
      <w:r>
        <w:tab/>
        <w:t>Forestry’s role in the national climate change strategy.</w:t>
      </w:r>
    </w:p>
    <w:p w:rsidR="001712A9" w:rsidRDefault="001712A9">
      <w:pPr>
        <w:pBdr>
          <w:bottom w:val="single" w:sz="12" w:space="0" w:color="008000"/>
          <w:between w:val="single" w:sz="12" w:space="1" w:color="008000"/>
        </w:pBdr>
        <w:tabs>
          <w:tab w:val="left" w:pos="1440"/>
          <w:tab w:val="left" w:pos="6228"/>
          <w:tab w:val="left" w:pos="8388"/>
        </w:tabs>
        <w:spacing w:line="240" w:lineRule="auto"/>
        <w:ind w:left="1440" w:hanging="1440"/>
        <w:jc w:val="left"/>
      </w:pPr>
      <w:r>
        <w:t xml:space="preserve">20 June: </w:t>
      </w:r>
      <w:r>
        <w:tab/>
        <w:t>Thinning field day/demonstration.</w:t>
      </w:r>
    </w:p>
    <w:p w:rsidR="001712A9" w:rsidRDefault="001712A9">
      <w:pPr>
        <w:pBdr>
          <w:bottom w:val="single" w:sz="12" w:space="0" w:color="008000"/>
          <w:between w:val="single" w:sz="12" w:space="1" w:color="008000"/>
        </w:pBdr>
        <w:tabs>
          <w:tab w:val="left" w:pos="1440"/>
          <w:tab w:val="left" w:pos="6228"/>
          <w:tab w:val="left" w:pos="8388"/>
        </w:tabs>
        <w:spacing w:line="240" w:lineRule="auto"/>
        <w:ind w:left="1440" w:hanging="1440"/>
        <w:jc w:val="left"/>
      </w:pPr>
      <w:r>
        <w:t>10-11 July:</w:t>
      </w:r>
      <w:r>
        <w:tab/>
        <w:t>Wood for Energy annual conference.</w:t>
      </w:r>
    </w:p>
    <w:p w:rsidR="001712A9" w:rsidRDefault="001712A9">
      <w:pPr>
        <w:pBdr>
          <w:bottom w:val="single" w:sz="12" w:space="0" w:color="008000"/>
          <w:between w:val="single" w:sz="12" w:space="1" w:color="008000"/>
        </w:pBdr>
        <w:tabs>
          <w:tab w:val="left" w:pos="1440"/>
          <w:tab w:val="left" w:pos="6228"/>
          <w:tab w:val="left" w:pos="8388"/>
        </w:tabs>
        <w:spacing w:line="240" w:lineRule="auto"/>
        <w:ind w:left="1440" w:hanging="1440"/>
        <w:jc w:val="left"/>
      </w:pPr>
      <w:r>
        <w:t>25-26 September:</w:t>
      </w:r>
      <w:r>
        <w:tab/>
        <w:t xml:space="preserve"> Managing our broadleaf resource to produce quality hardwood timber.</w:t>
      </w:r>
    </w:p>
    <w:p w:rsidR="001712A9" w:rsidRDefault="001712A9">
      <w:pPr>
        <w:pBdr>
          <w:bottom w:val="single" w:sz="12" w:space="0" w:color="008000"/>
          <w:between w:val="single" w:sz="12" w:space="1" w:color="008000"/>
        </w:pBdr>
        <w:tabs>
          <w:tab w:val="left" w:pos="1440"/>
          <w:tab w:val="left" w:pos="6228"/>
          <w:tab w:val="left" w:pos="8388"/>
        </w:tabs>
        <w:spacing w:line="240" w:lineRule="auto"/>
        <w:ind w:left="1440" w:hanging="1440"/>
        <w:jc w:val="left"/>
      </w:pPr>
      <w:r>
        <w:t xml:space="preserve">7 October: </w:t>
      </w:r>
      <w:r>
        <w:tab/>
        <w:t>Certification for the private sector.</w:t>
      </w:r>
    </w:p>
    <w:p w:rsidR="001712A9" w:rsidRDefault="001712A9">
      <w:pPr>
        <w:pBdr>
          <w:bottom w:val="single" w:sz="12" w:space="0" w:color="008000"/>
          <w:between w:val="single" w:sz="12" w:space="1" w:color="008000"/>
        </w:pBdr>
        <w:tabs>
          <w:tab w:val="left" w:pos="1440"/>
          <w:tab w:val="left" w:pos="6228"/>
          <w:tab w:val="left" w:pos="8388"/>
        </w:tabs>
        <w:spacing w:line="240" w:lineRule="auto"/>
        <w:ind w:left="1440" w:hanging="1440"/>
        <w:jc w:val="left"/>
      </w:pPr>
      <w:r>
        <w:t xml:space="preserve">21 October: </w:t>
      </w:r>
      <w:r>
        <w:tab/>
        <w:t xml:space="preserve">Deer management – Developing regional control plans. </w:t>
      </w:r>
    </w:p>
    <w:p w:rsidR="001712A9" w:rsidRDefault="001712A9">
      <w:pPr>
        <w:pBdr>
          <w:bottom w:val="single" w:sz="12" w:space="0" w:color="008000"/>
          <w:between w:val="single" w:sz="12" w:space="1" w:color="008000"/>
        </w:pBdr>
        <w:tabs>
          <w:tab w:val="left" w:pos="1440"/>
          <w:tab w:val="left" w:pos="6228"/>
          <w:tab w:val="left" w:pos="8388"/>
        </w:tabs>
        <w:spacing w:line="240" w:lineRule="auto"/>
        <w:ind w:left="1440" w:hanging="1440"/>
        <w:jc w:val="left"/>
      </w:pPr>
      <w:r>
        <w:t xml:space="preserve">13 November: </w:t>
      </w:r>
      <w:r>
        <w:tab/>
        <w:t>Annual ITGA/COFORD Conference.</w:t>
      </w:r>
    </w:p>
    <w:p w:rsidR="001712A9" w:rsidRDefault="001712A9"/>
    <w:p w:rsidR="001712A9" w:rsidRDefault="001712A9">
      <w:r>
        <w:t xml:space="preserve">Venues will be confirmed closer to the event. Updated information will be announced in the COFORD newsletter and on the website </w:t>
      </w:r>
      <w:hyperlink r:id="rId15" w:history="1">
        <w:r>
          <w:rPr>
            <w:rStyle w:val="Hyperlink"/>
          </w:rPr>
          <w:t>www.coford.ie</w:t>
        </w:r>
      </w:hyperlink>
      <w:r>
        <w:t>.</w:t>
      </w:r>
    </w:p>
    <w:p w:rsidR="001712A9" w:rsidRDefault="004767B5">
      <w:pPr>
        <w:pStyle w:val="backtothetop"/>
      </w:pPr>
      <w:hyperlink w:anchor="_Contents" w:history="1">
        <w:r w:rsidR="001712A9">
          <w:rPr>
            <w:rStyle w:val="Hyperlink"/>
          </w:rPr>
          <w:t>Back to List of Contents</w:t>
        </w:r>
      </w:hyperlink>
    </w:p>
    <w:p w:rsidR="001712A9" w:rsidRDefault="001712A9">
      <w:pPr>
        <w:pStyle w:val="backtothetop"/>
      </w:pPr>
    </w:p>
    <w:p w:rsidR="001712A9" w:rsidRDefault="001712A9">
      <w:pPr>
        <w:pStyle w:val="Heading1"/>
        <w:jc w:val="center"/>
        <w:rPr>
          <w:sz w:val="24"/>
          <w:lang w:val="en-GB"/>
        </w:rPr>
      </w:pPr>
      <w:bookmarkStart w:id="6" w:name="_Toc29787282"/>
      <w:r>
        <w:t>Greetings and Wishes for 2003</w:t>
      </w:r>
      <w:bookmarkEnd w:id="6"/>
    </w:p>
    <w:p w:rsidR="001712A9" w:rsidRDefault="001712A9">
      <w:pPr>
        <w:pStyle w:val="BlockText"/>
        <w:rPr>
          <w:sz w:val="20"/>
        </w:rPr>
      </w:pPr>
      <w:r>
        <w:rPr>
          <w:sz w:val="20"/>
        </w:rPr>
        <w:t>The COFORD team wishes to extend its very best wishes to all readers of the COFORD ‘Forestry and Wood Update’ newsletter. We thank you for your support throughout the past year and wish you continued success in 2003. The COFORD team is always keen to improve the service we provide to our subscribers and would like to receive suggestions on any additional features, items or functionality you would like us to add to our newsletter and technology transfer programme.</w:t>
      </w:r>
    </w:p>
    <w:p w:rsidR="001712A9" w:rsidRDefault="004767B5">
      <w:pPr>
        <w:pStyle w:val="backtothetop"/>
      </w:pPr>
      <w:hyperlink w:anchor="_Contents" w:history="1">
        <w:r w:rsidR="001712A9">
          <w:rPr>
            <w:rStyle w:val="Hyperlink"/>
          </w:rPr>
          <w:t>Back to List of Contents</w:t>
        </w:r>
      </w:hyperlink>
    </w:p>
    <w:p w:rsidR="001712A9" w:rsidRDefault="001712A9">
      <w:pPr>
        <w:pStyle w:val="Heading1"/>
        <w:rPr>
          <w:sz w:val="24"/>
          <w:lang w:val="en-GB"/>
        </w:rPr>
      </w:pPr>
      <w:bookmarkStart w:id="7" w:name="_Toc29787283"/>
      <w:r>
        <w:lastRenderedPageBreak/>
        <w:t>Carbon Energy Tax to focus interest in wood biomass</w:t>
      </w:r>
      <w:bookmarkEnd w:id="7"/>
    </w:p>
    <w:p w:rsidR="001712A9" w:rsidRDefault="001712A9">
      <w:r>
        <w:rPr>
          <w:color w:val="000000"/>
        </w:rPr>
        <w:t> </w:t>
      </w:r>
      <w:r>
        <w:t xml:space="preserve">The Minister of Finance, Mr Charlie </w:t>
      </w:r>
      <w:proofErr w:type="spellStart"/>
      <w:r>
        <w:t>McCreevy</w:t>
      </w:r>
      <w:proofErr w:type="spellEnd"/>
      <w:r>
        <w:t>, TD, announced on budget day that a carbon tax would be introduced from the end of 2004. Announcing this development, the Minister stated: "We have international obligations under the Kyoto Protocol to reduce greenhouse gas emissions. For this reason, the Government has asked the relevant Departments to advance the plans for a general carbon energy tax, with a view to introducing this from the end of 2004. Given the many implications of such a tax, both environmental and economic, there will be full consultations with interested parties on the design of the tax and a reasonable period is being allowed for its effective introduction."  </w:t>
      </w:r>
    </w:p>
    <w:p w:rsidR="001712A9" w:rsidRDefault="001712A9">
      <w:pPr>
        <w:pStyle w:val="Normal-firstlineindent"/>
      </w:pPr>
      <w:r>
        <w:t>As the exact details of the tax are yet to be negotiated it is certain that energy generated from wood biomass will be exempt from the tax.  This will mean that the relative competitiveness of wood biomass as a source of energy will be increased.  Fossil fuels are likely to be hit in the following order - coal, oil, gas - reflecting the reducing CO</w:t>
      </w:r>
      <w:r>
        <w:rPr>
          <w:vertAlign w:val="subscript"/>
        </w:rPr>
        <w:t>2</w:t>
      </w:r>
      <w:r>
        <w:t xml:space="preserve"> intensity of these fuels. </w:t>
      </w:r>
    </w:p>
    <w:p w:rsidR="001712A9" w:rsidRDefault="001712A9">
      <w:pPr>
        <w:pStyle w:val="backtothetop"/>
      </w:pPr>
      <w:r>
        <w:rPr>
          <w:color w:val="000000"/>
        </w:rPr>
        <w:t> </w:t>
      </w:r>
      <w:hyperlink w:anchor="_Contents" w:history="1">
        <w:r>
          <w:rPr>
            <w:rStyle w:val="Hyperlink"/>
          </w:rPr>
          <w:t>Back to List of Contents</w:t>
        </w:r>
      </w:hyperlink>
    </w:p>
    <w:p w:rsidR="001712A9" w:rsidRDefault="001712A9">
      <w:pPr>
        <w:pStyle w:val="backtothetop"/>
      </w:pPr>
    </w:p>
    <w:p w:rsidR="001712A9" w:rsidRDefault="001712A9">
      <w:pPr>
        <w:pStyle w:val="Heading1"/>
      </w:pPr>
      <w:bookmarkStart w:id="8" w:name="_Toc29787284"/>
      <w:r>
        <w:t>Carbon Corner</w:t>
      </w:r>
      <w:bookmarkEnd w:id="8"/>
    </w:p>
    <w:p w:rsidR="001712A9" w:rsidRDefault="001712A9">
      <w:r>
        <w:t xml:space="preserve">Estimating and reporting carbon stocks and carbon stock changes in forests in </w:t>
      </w:r>
      <w:smartTag w:uri="urn:schemas-microsoft-com:office:smarttags" w:element="country-region">
        <w:smartTag w:uri="urn:schemas-microsoft-com:office:smarttags" w:element="place">
          <w:r>
            <w:t>Ireland</w:t>
          </w:r>
        </w:smartTag>
      </w:smartTag>
      <w:r>
        <w:t xml:space="preserve"> has been underway for several years. Reports are made annually to the United Nations Framework Convention on Climate Change (UNFCCC) by the EPA on behalf of the Department of the Environment and Local Government. COFORD and the Forest Service provide the data to the EPA. </w:t>
      </w:r>
    </w:p>
    <w:p w:rsidR="001712A9" w:rsidRDefault="001712A9">
      <w:pPr>
        <w:pStyle w:val="Normal-indented"/>
      </w:pPr>
      <w:r>
        <w:t xml:space="preserve">Estimates of carbon stocks are made based on the </w:t>
      </w:r>
      <w:r>
        <w:rPr>
          <w:i/>
          <w:iCs/>
        </w:rPr>
        <w:t>Revised 1996 IPCC</w:t>
      </w:r>
      <w:r>
        <w:rPr>
          <w:rStyle w:val="FootnoteReference"/>
          <w:i/>
          <w:iCs/>
        </w:rPr>
        <w:footnoteReference w:id="1"/>
      </w:r>
      <w:r>
        <w:rPr>
          <w:i/>
          <w:iCs/>
        </w:rPr>
        <w:t xml:space="preserve"> Guidelines for National Greenhouse Gas Inventories</w:t>
      </w:r>
      <w:r>
        <w:t xml:space="preserve"> (</w:t>
      </w:r>
      <w:r>
        <w:rPr>
          <w:i/>
          <w:iCs/>
        </w:rPr>
        <w:t>IPCC Guidelines</w:t>
      </w:r>
      <w:r>
        <w:t xml:space="preserve">). However, it had been recognised for some time that there was a need to develop </w:t>
      </w:r>
      <w:r>
        <w:rPr>
          <w:i/>
          <w:iCs/>
        </w:rPr>
        <w:t>Good Practice Guidance</w:t>
      </w:r>
      <w:r>
        <w:t xml:space="preserve"> (GPG) to provide advice in the use of the guidelines. This task was assigned to the IPCC in 1998. The </w:t>
      </w:r>
      <w:r>
        <w:lastRenderedPageBreak/>
        <w:t xml:space="preserve">guidelines were finished in time for their acceptance by the IPCC plenary in 2000; and they were subsequently accepted by the UNFCCC. However, the 2000 GPG did not cover land-use and forestry activities (LULUCF) described in Chapter 5 of the IPCC guidelines. This was mainly because significant negotiations were underway on LULUCF as part of the IPCC process. The IPCC recognised that it would be preferable to await the outcome of these negotiations before developing GPG for LULUCF activities. </w:t>
      </w:r>
    </w:p>
    <w:p w:rsidR="001712A9" w:rsidRDefault="001712A9">
      <w:pPr>
        <w:pStyle w:val="Normal-firstlineindent"/>
      </w:pPr>
      <w:r>
        <w:t xml:space="preserve">After the successful conclusion of the negotiations at the UNFCCC conference at Marrakech in November 2001, a decision was adopted inviting the IPCC to elaborate methods to </w:t>
      </w:r>
      <w:r>
        <w:rPr>
          <w:i/>
          <w:iCs/>
        </w:rPr>
        <w:t>estimate, measure, monitor and report changes in carbon stocks</w:t>
      </w:r>
      <w:r>
        <w:t xml:space="preserve"> … </w:t>
      </w:r>
      <w:r>
        <w:rPr>
          <w:i/>
          <w:iCs/>
        </w:rPr>
        <w:t>resulting from land-use, land-use change and forestry</w:t>
      </w:r>
      <w:r>
        <w:t xml:space="preserve"> </w:t>
      </w:r>
      <w:r>
        <w:rPr>
          <w:i/>
          <w:iCs/>
        </w:rPr>
        <w:t>activities</w:t>
      </w:r>
      <w:r>
        <w:t xml:space="preserve"> </w:t>
      </w:r>
      <w:r>
        <w:rPr>
          <w:i/>
          <w:iCs/>
        </w:rPr>
        <w:t>under Article 3, paragraphs 3 and 4 and Articles 6 and 12</w:t>
      </w:r>
      <w:r>
        <w:rPr>
          <w:rStyle w:val="FootnoteReference"/>
          <w:i/>
          <w:iCs/>
        </w:rPr>
        <w:footnoteReference w:id="2"/>
      </w:r>
      <w:r>
        <w:rPr>
          <w:i/>
          <w:iCs/>
        </w:rPr>
        <w:t xml:space="preserve"> of the Kyoto Protocol</w:t>
      </w:r>
      <w:r>
        <w:t xml:space="preserve">, on the basis of the Revised 1996 IPCC Guidelines for National Greenhouse Gas Inventories … </w:t>
      </w:r>
      <w:r>
        <w:rPr>
          <w:i/>
          <w:iCs/>
        </w:rPr>
        <w:t>to be submitted for consideration and possible adoption to the Conference of the Parties at its ninth session</w:t>
      </w:r>
      <w:r>
        <w:t xml:space="preserve">. Included in the decision taken at Marrakech was that the IPCC would be asked to prepare a report on good practice guidance and uncertainty management relating to the measurement and estimation of net carbon stock changes and anthropogenic emissions and removals by sinks in the LULUCF sector. </w:t>
      </w:r>
    </w:p>
    <w:p w:rsidR="001712A9" w:rsidRDefault="001712A9">
      <w:pPr>
        <w:pStyle w:val="Normal-firstlineindent"/>
      </w:pPr>
      <w:r>
        <w:t xml:space="preserve">As the requests are closely linked, the IPCC has responded by producing a single </w:t>
      </w:r>
      <w:r>
        <w:rPr>
          <w:i/>
          <w:iCs/>
        </w:rPr>
        <w:t>Good Practice Guidance for LULUCF</w:t>
      </w:r>
      <w:r>
        <w:t xml:space="preserve"> under what has become known as IPCC Task 1. A first order draft of the report has been issued for comment by governments, with a closing date of the end of January 2003. The document is likely to be the key reference for national reporting of carbon stocks and carbon stock changes in forestry and other land uses. Issues such as representation of land areas, changes in soil organic matter and non-CO</w:t>
      </w:r>
      <w:r>
        <w:rPr>
          <w:vertAlign w:val="subscript"/>
        </w:rPr>
        <w:t>2</w:t>
      </w:r>
      <w:r>
        <w:t xml:space="preserve"> greenhouse gases all need to be fully and transparently addressed. Good practice implies that inventories of carbon stocks contain neither over- nor under-estimates as far as can be judged and uncertainties are reduced as far as practicable. </w:t>
      </w:r>
    </w:p>
    <w:p w:rsidR="001712A9" w:rsidRDefault="004767B5">
      <w:pPr>
        <w:pStyle w:val="backtothetop"/>
        <w:sectPr w:rsidR="001712A9">
          <w:type w:val="continuous"/>
          <w:pgSz w:w="11906" w:h="16838" w:code="9"/>
          <w:pgMar w:top="1134" w:right="1466" w:bottom="1418" w:left="1134" w:header="567" w:footer="567" w:gutter="0"/>
          <w:cols w:num="2" w:sep="1" w:space="454"/>
          <w:docGrid w:linePitch="360"/>
        </w:sectPr>
      </w:pPr>
      <w:hyperlink w:anchor="_Contents" w:history="1">
        <w:r w:rsidR="001712A9">
          <w:rPr>
            <w:rStyle w:val="Hyperlink"/>
          </w:rPr>
          <w:t>Back to List of Contents</w:t>
        </w:r>
      </w:hyperlink>
    </w:p>
    <w:p w:rsidR="001712A9" w:rsidRDefault="001712A9">
      <w:pPr>
        <w:pStyle w:val="Heading1"/>
      </w:pPr>
      <w:bookmarkStart w:id="9" w:name="_Toc29787285"/>
      <w:r>
        <w:lastRenderedPageBreak/>
        <w:t>National Catalogue of Seed Stands</w:t>
      </w:r>
      <w:bookmarkEnd w:id="9"/>
    </w:p>
    <w:p w:rsidR="001712A9" w:rsidRDefault="002B7961">
      <w:r>
        <w:rPr>
          <w:noProof/>
          <w:lang w:eastAsia="en-IE"/>
        </w:rPr>
        <mc:AlternateContent>
          <mc:Choice Requires="wps">
            <w:drawing>
              <wp:inline distT="0" distB="0" distL="0" distR="0">
                <wp:extent cx="4105275" cy="4514850"/>
                <wp:effectExtent l="0" t="0" r="0" b="0"/>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4514850"/>
                        </a:xfrm>
                        <a:prstGeom prst="rect">
                          <a:avLst/>
                        </a:prstGeom>
                        <a:noFill/>
                        <a:ln>
                          <a:noFill/>
                        </a:ln>
                        <a:extLst>
                          <a:ext uri="{909E8E84-426E-40DD-AFC4-6F175D3DCCD1}">
                            <a14:hiddenFill xmlns:a14="http://schemas.microsoft.com/office/drawing/2010/main">
                              <a:solidFill>
                                <a:srgbClr val="CCFFCC">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2A9" w:rsidRDefault="001712A9">
                            <w:pPr>
                              <w:pStyle w:val="Heading2"/>
                              <w:rPr>
                                <w:b w:val="0"/>
                                <w:bCs w:val="0"/>
                              </w:rPr>
                            </w:pPr>
                            <w:r>
                              <w:t xml:space="preserve">Table 1: </w:t>
                            </w:r>
                            <w:r>
                              <w:rPr>
                                <w:b w:val="0"/>
                                <w:bCs w:val="0"/>
                              </w:rPr>
                              <w:t>Area (ha) of new stands selected in 1997, 1998, 1999, 2000, 2001 and 2002.</w:t>
                            </w:r>
                          </w:p>
                          <w:tbl>
                            <w:tblPr>
                              <w:tblW w:w="6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2"/>
                              <w:gridCol w:w="760"/>
                              <w:gridCol w:w="780"/>
                              <w:gridCol w:w="706"/>
                              <w:gridCol w:w="888"/>
                              <w:gridCol w:w="706"/>
                              <w:gridCol w:w="706"/>
                            </w:tblGrid>
                            <w:tr w:rsidR="001712A9">
                              <w:tc>
                                <w:tcPr>
                                  <w:tcW w:w="1622" w:type="dxa"/>
                                  <w:tcBorders>
                                    <w:left w:val="nil"/>
                                  </w:tcBorders>
                                  <w:tcMar>
                                    <w:top w:w="57" w:type="dxa"/>
                                    <w:left w:w="28" w:type="dxa"/>
                                    <w:bottom w:w="57" w:type="dxa"/>
                                    <w:right w:w="28" w:type="dxa"/>
                                  </w:tcMar>
                                  <w:vAlign w:val="center"/>
                                </w:tcPr>
                                <w:p w:rsidR="001712A9" w:rsidRDefault="001712A9">
                                  <w:pPr>
                                    <w:rPr>
                                      <w:rFonts w:ascii="Arial" w:hAnsi="Arial" w:cs="Arial"/>
                                      <w:b/>
                                      <w:bCs/>
                                      <w:sz w:val="16"/>
                                    </w:rPr>
                                  </w:pPr>
                                  <w:r>
                                    <w:rPr>
                                      <w:rFonts w:ascii="Arial" w:hAnsi="Arial" w:cs="Arial"/>
                                      <w:b/>
                                      <w:bCs/>
                                      <w:sz w:val="16"/>
                                    </w:rPr>
                                    <w:t>Species</w:t>
                                  </w:r>
                                </w:p>
                              </w:tc>
                              <w:tc>
                                <w:tcPr>
                                  <w:tcW w:w="760" w:type="dxa"/>
                                  <w:tcMar>
                                    <w:top w:w="57" w:type="dxa"/>
                                    <w:left w:w="28" w:type="dxa"/>
                                    <w:bottom w:w="57" w:type="dxa"/>
                                    <w:right w:w="28" w:type="dxa"/>
                                  </w:tcMar>
                                  <w:vAlign w:val="center"/>
                                </w:tcPr>
                                <w:p w:rsidR="001712A9" w:rsidRDefault="001712A9">
                                  <w:pPr>
                                    <w:jc w:val="center"/>
                                    <w:rPr>
                                      <w:rFonts w:ascii="Arial" w:hAnsi="Arial" w:cs="Arial"/>
                                      <w:b/>
                                      <w:bCs/>
                                      <w:sz w:val="16"/>
                                    </w:rPr>
                                  </w:pPr>
                                  <w:r>
                                    <w:rPr>
                                      <w:rFonts w:ascii="Arial" w:hAnsi="Arial" w:cs="Arial"/>
                                      <w:b/>
                                      <w:bCs/>
                                      <w:sz w:val="16"/>
                                    </w:rPr>
                                    <w:t>1997</w:t>
                                  </w:r>
                                </w:p>
                              </w:tc>
                              <w:tc>
                                <w:tcPr>
                                  <w:tcW w:w="780" w:type="dxa"/>
                                  <w:tcMar>
                                    <w:top w:w="57" w:type="dxa"/>
                                    <w:left w:w="28" w:type="dxa"/>
                                    <w:bottom w:w="57" w:type="dxa"/>
                                    <w:right w:w="28" w:type="dxa"/>
                                  </w:tcMar>
                                  <w:vAlign w:val="center"/>
                                </w:tcPr>
                                <w:p w:rsidR="001712A9" w:rsidRDefault="001712A9">
                                  <w:pPr>
                                    <w:jc w:val="center"/>
                                    <w:rPr>
                                      <w:rFonts w:ascii="Arial" w:hAnsi="Arial" w:cs="Arial"/>
                                      <w:b/>
                                      <w:bCs/>
                                      <w:sz w:val="16"/>
                                    </w:rPr>
                                  </w:pPr>
                                  <w:r>
                                    <w:rPr>
                                      <w:rFonts w:ascii="Arial" w:hAnsi="Arial" w:cs="Arial"/>
                                      <w:b/>
                                      <w:bCs/>
                                      <w:sz w:val="16"/>
                                    </w:rPr>
                                    <w:t>1998</w:t>
                                  </w:r>
                                </w:p>
                              </w:tc>
                              <w:tc>
                                <w:tcPr>
                                  <w:tcW w:w="706" w:type="dxa"/>
                                  <w:tcMar>
                                    <w:top w:w="57" w:type="dxa"/>
                                    <w:left w:w="28" w:type="dxa"/>
                                    <w:bottom w:w="57" w:type="dxa"/>
                                    <w:right w:w="28" w:type="dxa"/>
                                  </w:tcMar>
                                  <w:vAlign w:val="center"/>
                                </w:tcPr>
                                <w:p w:rsidR="001712A9" w:rsidRDefault="001712A9">
                                  <w:pPr>
                                    <w:jc w:val="center"/>
                                    <w:rPr>
                                      <w:rFonts w:ascii="Arial" w:hAnsi="Arial" w:cs="Arial"/>
                                      <w:b/>
                                      <w:bCs/>
                                      <w:sz w:val="16"/>
                                    </w:rPr>
                                  </w:pPr>
                                  <w:r>
                                    <w:rPr>
                                      <w:rFonts w:ascii="Arial" w:hAnsi="Arial" w:cs="Arial"/>
                                      <w:b/>
                                      <w:bCs/>
                                      <w:sz w:val="16"/>
                                    </w:rPr>
                                    <w:t>1999</w:t>
                                  </w:r>
                                </w:p>
                              </w:tc>
                              <w:tc>
                                <w:tcPr>
                                  <w:tcW w:w="888" w:type="dxa"/>
                                  <w:tcMar>
                                    <w:top w:w="57" w:type="dxa"/>
                                    <w:left w:w="28" w:type="dxa"/>
                                    <w:bottom w:w="57" w:type="dxa"/>
                                    <w:right w:w="28" w:type="dxa"/>
                                  </w:tcMar>
                                  <w:vAlign w:val="center"/>
                                </w:tcPr>
                                <w:p w:rsidR="001712A9" w:rsidRDefault="001712A9">
                                  <w:pPr>
                                    <w:jc w:val="center"/>
                                    <w:rPr>
                                      <w:rFonts w:ascii="Arial" w:hAnsi="Arial" w:cs="Arial"/>
                                      <w:b/>
                                      <w:bCs/>
                                      <w:sz w:val="16"/>
                                    </w:rPr>
                                  </w:pPr>
                                  <w:r>
                                    <w:rPr>
                                      <w:rFonts w:ascii="Arial" w:hAnsi="Arial" w:cs="Arial"/>
                                      <w:b/>
                                      <w:bCs/>
                                      <w:sz w:val="16"/>
                                    </w:rPr>
                                    <w:t>2000</w:t>
                                  </w:r>
                                </w:p>
                              </w:tc>
                              <w:tc>
                                <w:tcPr>
                                  <w:tcW w:w="706" w:type="dxa"/>
                                  <w:tcMar>
                                    <w:top w:w="57" w:type="dxa"/>
                                    <w:left w:w="28" w:type="dxa"/>
                                    <w:bottom w:w="57" w:type="dxa"/>
                                    <w:right w:w="28" w:type="dxa"/>
                                  </w:tcMar>
                                  <w:vAlign w:val="center"/>
                                </w:tcPr>
                                <w:p w:rsidR="001712A9" w:rsidRDefault="001712A9">
                                  <w:pPr>
                                    <w:jc w:val="center"/>
                                    <w:rPr>
                                      <w:rFonts w:ascii="Arial" w:hAnsi="Arial" w:cs="Arial"/>
                                      <w:b/>
                                      <w:bCs/>
                                      <w:sz w:val="16"/>
                                    </w:rPr>
                                  </w:pPr>
                                  <w:r>
                                    <w:rPr>
                                      <w:rFonts w:ascii="Arial" w:hAnsi="Arial" w:cs="Arial"/>
                                      <w:b/>
                                      <w:bCs/>
                                      <w:sz w:val="16"/>
                                    </w:rPr>
                                    <w:t>2001</w:t>
                                  </w:r>
                                </w:p>
                              </w:tc>
                              <w:tc>
                                <w:tcPr>
                                  <w:tcW w:w="706" w:type="dxa"/>
                                  <w:tcBorders>
                                    <w:right w:val="nil"/>
                                  </w:tcBorders>
                                  <w:tcMar>
                                    <w:top w:w="57" w:type="dxa"/>
                                    <w:left w:w="28" w:type="dxa"/>
                                    <w:bottom w:w="57" w:type="dxa"/>
                                    <w:right w:w="28" w:type="dxa"/>
                                  </w:tcMar>
                                  <w:vAlign w:val="center"/>
                                </w:tcPr>
                                <w:p w:rsidR="001712A9" w:rsidRDefault="001712A9">
                                  <w:pPr>
                                    <w:jc w:val="center"/>
                                    <w:rPr>
                                      <w:rFonts w:ascii="Arial" w:hAnsi="Arial" w:cs="Arial"/>
                                      <w:b/>
                                      <w:bCs/>
                                      <w:sz w:val="16"/>
                                    </w:rPr>
                                  </w:pPr>
                                  <w:r>
                                    <w:rPr>
                                      <w:rFonts w:ascii="Arial" w:hAnsi="Arial" w:cs="Arial"/>
                                      <w:b/>
                                      <w:bCs/>
                                      <w:sz w:val="16"/>
                                    </w:rPr>
                                    <w:t>2002</w:t>
                                  </w:r>
                                </w:p>
                              </w:tc>
                            </w:tr>
                            <w:tr w:rsidR="001712A9">
                              <w:tc>
                                <w:tcPr>
                                  <w:tcW w:w="1622" w:type="dxa"/>
                                  <w:tcBorders>
                                    <w:left w:val="nil"/>
                                  </w:tcBorders>
                                  <w:tcMar>
                                    <w:top w:w="57" w:type="dxa"/>
                                    <w:left w:w="28" w:type="dxa"/>
                                    <w:bottom w:w="57" w:type="dxa"/>
                                    <w:right w:w="28" w:type="dxa"/>
                                  </w:tcMar>
                                  <w:vAlign w:val="center"/>
                                </w:tcPr>
                                <w:p w:rsidR="001712A9" w:rsidRDefault="001712A9">
                                  <w:pPr>
                                    <w:rPr>
                                      <w:rFonts w:ascii="Arial" w:hAnsi="Arial" w:cs="Arial"/>
                                      <w:sz w:val="16"/>
                                    </w:rPr>
                                  </w:pPr>
                                  <w:r>
                                    <w:rPr>
                                      <w:rFonts w:ascii="Arial" w:hAnsi="Arial" w:cs="Arial"/>
                                      <w:sz w:val="16"/>
                                    </w:rPr>
                                    <w:t>Sitka spruce</w:t>
                                  </w:r>
                                </w:p>
                              </w:tc>
                              <w:tc>
                                <w:tcPr>
                                  <w:tcW w:w="760" w:type="dxa"/>
                                  <w:tcMar>
                                    <w:top w:w="57" w:type="dxa"/>
                                    <w:left w:w="28" w:type="dxa"/>
                                    <w:bottom w:w="57" w:type="dxa"/>
                                    <w:right w:w="28" w:type="dxa"/>
                                  </w:tcMar>
                                  <w:vAlign w:val="center"/>
                                </w:tcPr>
                                <w:p w:rsidR="001712A9" w:rsidRDefault="001712A9">
                                  <w:pPr>
                                    <w:tabs>
                                      <w:tab w:val="left" w:pos="542"/>
                                    </w:tabs>
                                    <w:ind w:right="54"/>
                                    <w:jc w:val="right"/>
                                    <w:rPr>
                                      <w:rFonts w:ascii="Arial" w:hAnsi="Arial" w:cs="Arial"/>
                                      <w:sz w:val="16"/>
                                    </w:rPr>
                                  </w:pPr>
                                  <w:r>
                                    <w:rPr>
                                      <w:rFonts w:ascii="Arial" w:hAnsi="Arial" w:cs="Arial"/>
                                      <w:sz w:val="16"/>
                                    </w:rPr>
                                    <w:t>107.2</w:t>
                                  </w:r>
                                </w:p>
                              </w:tc>
                              <w:tc>
                                <w:tcPr>
                                  <w:tcW w:w="780" w:type="dxa"/>
                                  <w:tcMar>
                                    <w:top w:w="57" w:type="dxa"/>
                                    <w:left w:w="28" w:type="dxa"/>
                                    <w:bottom w:w="57" w:type="dxa"/>
                                    <w:right w:w="28" w:type="dxa"/>
                                  </w:tcMar>
                                  <w:vAlign w:val="center"/>
                                </w:tcPr>
                                <w:p w:rsidR="001712A9" w:rsidRDefault="001712A9">
                                  <w:pPr>
                                    <w:ind w:right="98"/>
                                    <w:jc w:val="right"/>
                                    <w:rPr>
                                      <w:rFonts w:ascii="Arial" w:hAnsi="Arial" w:cs="Arial"/>
                                      <w:sz w:val="16"/>
                                    </w:rPr>
                                  </w:pPr>
                                  <w:r>
                                    <w:rPr>
                                      <w:rFonts w:ascii="Arial" w:hAnsi="Arial" w:cs="Arial"/>
                                      <w:sz w:val="16"/>
                                    </w:rPr>
                                    <w:t>189.4</w:t>
                                  </w:r>
                                </w:p>
                              </w:tc>
                              <w:tc>
                                <w:tcPr>
                                  <w:tcW w:w="706" w:type="dxa"/>
                                  <w:tcMar>
                                    <w:top w:w="57" w:type="dxa"/>
                                    <w:left w:w="28" w:type="dxa"/>
                                    <w:bottom w:w="57" w:type="dxa"/>
                                    <w:right w:w="28" w:type="dxa"/>
                                  </w:tcMar>
                                  <w:vAlign w:val="center"/>
                                </w:tcPr>
                                <w:p w:rsidR="001712A9" w:rsidRDefault="001712A9">
                                  <w:pPr>
                                    <w:jc w:val="right"/>
                                    <w:rPr>
                                      <w:rFonts w:ascii="Arial" w:hAnsi="Arial" w:cs="Arial"/>
                                      <w:sz w:val="16"/>
                                    </w:rPr>
                                  </w:pPr>
                                  <w:r>
                                    <w:rPr>
                                      <w:rFonts w:ascii="Arial" w:hAnsi="Arial" w:cs="Arial"/>
                                      <w:sz w:val="16"/>
                                    </w:rPr>
                                    <w:t>217.0</w:t>
                                  </w:r>
                                </w:p>
                              </w:tc>
                              <w:tc>
                                <w:tcPr>
                                  <w:tcW w:w="888" w:type="dxa"/>
                                  <w:tcMar>
                                    <w:top w:w="57" w:type="dxa"/>
                                    <w:left w:w="28" w:type="dxa"/>
                                    <w:bottom w:w="57" w:type="dxa"/>
                                    <w:right w:w="28" w:type="dxa"/>
                                  </w:tcMar>
                                  <w:vAlign w:val="center"/>
                                </w:tcPr>
                                <w:p w:rsidR="001712A9" w:rsidRDefault="001712A9">
                                  <w:pPr>
                                    <w:ind w:right="182"/>
                                    <w:jc w:val="right"/>
                                    <w:rPr>
                                      <w:rFonts w:ascii="Arial" w:hAnsi="Arial" w:cs="Arial"/>
                                      <w:sz w:val="16"/>
                                    </w:rPr>
                                  </w:pPr>
                                  <w:r>
                                    <w:rPr>
                                      <w:rFonts w:ascii="Arial" w:hAnsi="Arial" w:cs="Arial"/>
                                      <w:sz w:val="16"/>
                                    </w:rPr>
                                    <w:t>273.4</w:t>
                                  </w:r>
                                </w:p>
                              </w:tc>
                              <w:tc>
                                <w:tcPr>
                                  <w:tcW w:w="706" w:type="dxa"/>
                                  <w:tcMar>
                                    <w:top w:w="57" w:type="dxa"/>
                                    <w:left w:w="28" w:type="dxa"/>
                                    <w:bottom w:w="57" w:type="dxa"/>
                                    <w:right w:w="28" w:type="dxa"/>
                                  </w:tcMar>
                                  <w:vAlign w:val="center"/>
                                </w:tcPr>
                                <w:p w:rsidR="001712A9" w:rsidRDefault="001712A9">
                                  <w:pPr>
                                    <w:jc w:val="right"/>
                                    <w:rPr>
                                      <w:rFonts w:ascii="Arial" w:hAnsi="Arial" w:cs="Arial"/>
                                      <w:sz w:val="16"/>
                                    </w:rPr>
                                  </w:pPr>
                                  <w:r>
                                    <w:rPr>
                                      <w:rFonts w:ascii="Arial" w:hAnsi="Arial" w:cs="Arial"/>
                                      <w:sz w:val="16"/>
                                    </w:rPr>
                                    <w:t>237.2</w:t>
                                  </w:r>
                                </w:p>
                              </w:tc>
                              <w:tc>
                                <w:tcPr>
                                  <w:tcW w:w="706" w:type="dxa"/>
                                  <w:tcBorders>
                                    <w:right w:val="nil"/>
                                  </w:tcBorders>
                                  <w:tcMar>
                                    <w:top w:w="57" w:type="dxa"/>
                                    <w:left w:w="28" w:type="dxa"/>
                                    <w:bottom w:w="57" w:type="dxa"/>
                                    <w:right w:w="28" w:type="dxa"/>
                                  </w:tcMar>
                                  <w:vAlign w:val="center"/>
                                </w:tcPr>
                                <w:p w:rsidR="001712A9" w:rsidRDefault="001712A9">
                                  <w:pPr>
                                    <w:jc w:val="right"/>
                                    <w:rPr>
                                      <w:rFonts w:ascii="Arial" w:hAnsi="Arial" w:cs="Arial"/>
                                      <w:sz w:val="16"/>
                                    </w:rPr>
                                  </w:pPr>
                                  <w:r>
                                    <w:rPr>
                                      <w:rFonts w:ascii="Arial" w:hAnsi="Arial" w:cs="Arial"/>
                                      <w:sz w:val="16"/>
                                    </w:rPr>
                                    <w:t>8.6</w:t>
                                  </w:r>
                                </w:p>
                              </w:tc>
                            </w:tr>
                            <w:tr w:rsidR="001712A9">
                              <w:tc>
                                <w:tcPr>
                                  <w:tcW w:w="1622" w:type="dxa"/>
                                  <w:tcBorders>
                                    <w:left w:val="nil"/>
                                  </w:tcBorders>
                                  <w:tcMar>
                                    <w:top w:w="57" w:type="dxa"/>
                                    <w:left w:w="28" w:type="dxa"/>
                                    <w:bottom w:w="57" w:type="dxa"/>
                                    <w:right w:w="28" w:type="dxa"/>
                                  </w:tcMar>
                                  <w:vAlign w:val="center"/>
                                </w:tcPr>
                                <w:p w:rsidR="001712A9" w:rsidRDefault="001712A9">
                                  <w:pPr>
                                    <w:rPr>
                                      <w:rFonts w:ascii="Arial" w:hAnsi="Arial" w:cs="Arial"/>
                                      <w:sz w:val="16"/>
                                    </w:rPr>
                                  </w:pPr>
                                  <w:r>
                                    <w:rPr>
                                      <w:rFonts w:ascii="Arial" w:hAnsi="Arial" w:cs="Arial"/>
                                      <w:sz w:val="16"/>
                                    </w:rPr>
                                    <w:t>Norway spruce</w:t>
                                  </w:r>
                                </w:p>
                              </w:tc>
                              <w:tc>
                                <w:tcPr>
                                  <w:tcW w:w="760" w:type="dxa"/>
                                  <w:tcMar>
                                    <w:top w:w="57" w:type="dxa"/>
                                    <w:left w:w="28" w:type="dxa"/>
                                    <w:bottom w:w="57" w:type="dxa"/>
                                    <w:right w:w="28" w:type="dxa"/>
                                  </w:tcMar>
                                  <w:vAlign w:val="center"/>
                                </w:tcPr>
                                <w:p w:rsidR="001712A9" w:rsidRDefault="001712A9">
                                  <w:pPr>
                                    <w:tabs>
                                      <w:tab w:val="left" w:pos="542"/>
                                    </w:tabs>
                                    <w:ind w:right="54"/>
                                    <w:jc w:val="right"/>
                                    <w:rPr>
                                      <w:rFonts w:ascii="Arial" w:hAnsi="Arial" w:cs="Arial"/>
                                      <w:sz w:val="16"/>
                                    </w:rPr>
                                  </w:pPr>
                                  <w:r>
                                    <w:rPr>
                                      <w:rFonts w:ascii="Arial" w:hAnsi="Arial" w:cs="Arial"/>
                                      <w:sz w:val="16"/>
                                    </w:rPr>
                                    <w:t>49.8</w:t>
                                  </w:r>
                                </w:p>
                              </w:tc>
                              <w:tc>
                                <w:tcPr>
                                  <w:tcW w:w="780" w:type="dxa"/>
                                  <w:tcMar>
                                    <w:top w:w="57" w:type="dxa"/>
                                    <w:left w:w="28" w:type="dxa"/>
                                    <w:bottom w:w="57" w:type="dxa"/>
                                    <w:right w:w="28" w:type="dxa"/>
                                  </w:tcMar>
                                  <w:vAlign w:val="center"/>
                                </w:tcPr>
                                <w:p w:rsidR="001712A9" w:rsidRDefault="001712A9">
                                  <w:pPr>
                                    <w:ind w:right="98"/>
                                    <w:jc w:val="right"/>
                                    <w:rPr>
                                      <w:rFonts w:ascii="Arial" w:hAnsi="Arial" w:cs="Arial"/>
                                      <w:sz w:val="16"/>
                                    </w:rPr>
                                  </w:pPr>
                                  <w:r>
                                    <w:rPr>
                                      <w:rFonts w:ascii="Arial" w:hAnsi="Arial" w:cs="Arial"/>
                                      <w:sz w:val="16"/>
                                    </w:rPr>
                                    <w:t>137.7</w:t>
                                  </w:r>
                                </w:p>
                              </w:tc>
                              <w:tc>
                                <w:tcPr>
                                  <w:tcW w:w="706" w:type="dxa"/>
                                  <w:tcMar>
                                    <w:top w:w="57" w:type="dxa"/>
                                    <w:left w:w="28" w:type="dxa"/>
                                    <w:bottom w:w="57" w:type="dxa"/>
                                    <w:right w:w="28" w:type="dxa"/>
                                  </w:tcMar>
                                  <w:vAlign w:val="center"/>
                                </w:tcPr>
                                <w:p w:rsidR="001712A9" w:rsidRDefault="001712A9">
                                  <w:pPr>
                                    <w:jc w:val="right"/>
                                    <w:rPr>
                                      <w:rFonts w:ascii="Arial" w:hAnsi="Arial" w:cs="Arial"/>
                                      <w:sz w:val="16"/>
                                    </w:rPr>
                                  </w:pPr>
                                  <w:r>
                                    <w:rPr>
                                      <w:rFonts w:ascii="Arial" w:hAnsi="Arial" w:cs="Arial"/>
                                      <w:sz w:val="16"/>
                                    </w:rPr>
                                    <w:t>218.0</w:t>
                                  </w:r>
                                </w:p>
                              </w:tc>
                              <w:tc>
                                <w:tcPr>
                                  <w:tcW w:w="888" w:type="dxa"/>
                                  <w:tcMar>
                                    <w:top w:w="57" w:type="dxa"/>
                                    <w:left w:w="28" w:type="dxa"/>
                                    <w:bottom w:w="57" w:type="dxa"/>
                                    <w:right w:w="28" w:type="dxa"/>
                                  </w:tcMar>
                                  <w:vAlign w:val="center"/>
                                </w:tcPr>
                                <w:p w:rsidR="001712A9" w:rsidRDefault="001712A9">
                                  <w:pPr>
                                    <w:ind w:right="182"/>
                                    <w:jc w:val="right"/>
                                    <w:rPr>
                                      <w:rFonts w:ascii="Arial" w:hAnsi="Arial" w:cs="Arial"/>
                                      <w:sz w:val="16"/>
                                    </w:rPr>
                                  </w:pPr>
                                  <w:r>
                                    <w:rPr>
                                      <w:rFonts w:ascii="Arial" w:hAnsi="Arial" w:cs="Arial"/>
                                      <w:sz w:val="16"/>
                                    </w:rPr>
                                    <w:t>252.3</w:t>
                                  </w:r>
                                </w:p>
                              </w:tc>
                              <w:tc>
                                <w:tcPr>
                                  <w:tcW w:w="706" w:type="dxa"/>
                                  <w:tcMar>
                                    <w:top w:w="57" w:type="dxa"/>
                                    <w:left w:w="28" w:type="dxa"/>
                                    <w:bottom w:w="57" w:type="dxa"/>
                                    <w:right w:w="28" w:type="dxa"/>
                                  </w:tcMar>
                                  <w:vAlign w:val="center"/>
                                </w:tcPr>
                                <w:p w:rsidR="001712A9" w:rsidRDefault="001712A9">
                                  <w:pPr>
                                    <w:jc w:val="right"/>
                                    <w:rPr>
                                      <w:rFonts w:ascii="Arial" w:hAnsi="Arial" w:cs="Arial"/>
                                      <w:sz w:val="16"/>
                                    </w:rPr>
                                  </w:pPr>
                                  <w:r>
                                    <w:rPr>
                                      <w:rFonts w:ascii="Arial" w:hAnsi="Arial" w:cs="Arial"/>
                                      <w:sz w:val="16"/>
                                    </w:rPr>
                                    <w:t>136.6</w:t>
                                  </w:r>
                                </w:p>
                              </w:tc>
                              <w:tc>
                                <w:tcPr>
                                  <w:tcW w:w="706" w:type="dxa"/>
                                  <w:tcBorders>
                                    <w:right w:val="nil"/>
                                  </w:tcBorders>
                                  <w:tcMar>
                                    <w:top w:w="57" w:type="dxa"/>
                                    <w:left w:w="28" w:type="dxa"/>
                                    <w:bottom w:w="57" w:type="dxa"/>
                                    <w:right w:w="28" w:type="dxa"/>
                                  </w:tcMar>
                                  <w:vAlign w:val="center"/>
                                </w:tcPr>
                                <w:p w:rsidR="001712A9" w:rsidRDefault="001712A9">
                                  <w:pPr>
                                    <w:jc w:val="right"/>
                                    <w:rPr>
                                      <w:rFonts w:ascii="Arial" w:hAnsi="Arial" w:cs="Arial"/>
                                      <w:sz w:val="16"/>
                                    </w:rPr>
                                  </w:pPr>
                                  <w:r>
                                    <w:rPr>
                                      <w:rFonts w:ascii="Arial" w:hAnsi="Arial" w:cs="Arial"/>
                                      <w:sz w:val="16"/>
                                    </w:rPr>
                                    <w:t>19.1</w:t>
                                  </w:r>
                                </w:p>
                              </w:tc>
                            </w:tr>
                            <w:tr w:rsidR="001712A9">
                              <w:tc>
                                <w:tcPr>
                                  <w:tcW w:w="1622" w:type="dxa"/>
                                  <w:tcBorders>
                                    <w:left w:val="nil"/>
                                  </w:tcBorders>
                                  <w:tcMar>
                                    <w:top w:w="57" w:type="dxa"/>
                                    <w:left w:w="28" w:type="dxa"/>
                                    <w:bottom w:w="57" w:type="dxa"/>
                                    <w:right w:w="28" w:type="dxa"/>
                                  </w:tcMar>
                                  <w:vAlign w:val="center"/>
                                </w:tcPr>
                                <w:p w:rsidR="001712A9" w:rsidRDefault="001712A9">
                                  <w:pPr>
                                    <w:rPr>
                                      <w:rFonts w:ascii="Arial" w:hAnsi="Arial" w:cs="Arial"/>
                                      <w:sz w:val="16"/>
                                    </w:rPr>
                                  </w:pPr>
                                  <w:proofErr w:type="spellStart"/>
                                  <w:r>
                                    <w:rPr>
                                      <w:rFonts w:ascii="Arial" w:hAnsi="Arial" w:cs="Arial"/>
                                      <w:sz w:val="16"/>
                                    </w:rPr>
                                    <w:t>Pedunculate</w:t>
                                  </w:r>
                                  <w:proofErr w:type="spellEnd"/>
                                  <w:r>
                                    <w:rPr>
                                      <w:rFonts w:ascii="Arial" w:hAnsi="Arial" w:cs="Arial"/>
                                      <w:sz w:val="16"/>
                                    </w:rPr>
                                    <w:t xml:space="preserve"> oak</w:t>
                                  </w:r>
                                </w:p>
                              </w:tc>
                              <w:tc>
                                <w:tcPr>
                                  <w:tcW w:w="760" w:type="dxa"/>
                                  <w:tcMar>
                                    <w:top w:w="57" w:type="dxa"/>
                                    <w:left w:w="28" w:type="dxa"/>
                                    <w:bottom w:w="57" w:type="dxa"/>
                                    <w:right w:w="28" w:type="dxa"/>
                                  </w:tcMar>
                                  <w:vAlign w:val="center"/>
                                </w:tcPr>
                                <w:p w:rsidR="001712A9" w:rsidRDefault="001712A9">
                                  <w:pPr>
                                    <w:tabs>
                                      <w:tab w:val="left" w:pos="542"/>
                                    </w:tabs>
                                    <w:ind w:right="54"/>
                                    <w:jc w:val="right"/>
                                    <w:rPr>
                                      <w:rFonts w:ascii="Arial" w:hAnsi="Arial" w:cs="Arial"/>
                                      <w:sz w:val="16"/>
                                    </w:rPr>
                                  </w:pPr>
                                </w:p>
                              </w:tc>
                              <w:tc>
                                <w:tcPr>
                                  <w:tcW w:w="780" w:type="dxa"/>
                                  <w:tcMar>
                                    <w:top w:w="57" w:type="dxa"/>
                                    <w:left w:w="28" w:type="dxa"/>
                                    <w:bottom w:w="57" w:type="dxa"/>
                                    <w:right w:w="28" w:type="dxa"/>
                                  </w:tcMar>
                                  <w:vAlign w:val="center"/>
                                </w:tcPr>
                                <w:p w:rsidR="001712A9" w:rsidRDefault="001712A9">
                                  <w:pPr>
                                    <w:ind w:right="98"/>
                                    <w:jc w:val="right"/>
                                    <w:rPr>
                                      <w:rFonts w:ascii="Arial" w:hAnsi="Arial" w:cs="Arial"/>
                                      <w:sz w:val="16"/>
                                    </w:rPr>
                                  </w:pPr>
                                  <w:r>
                                    <w:rPr>
                                      <w:rFonts w:ascii="Arial" w:hAnsi="Arial" w:cs="Arial"/>
                                      <w:sz w:val="16"/>
                                    </w:rPr>
                                    <w:t>31.3</w:t>
                                  </w:r>
                                </w:p>
                              </w:tc>
                              <w:tc>
                                <w:tcPr>
                                  <w:tcW w:w="706" w:type="dxa"/>
                                  <w:tcMar>
                                    <w:top w:w="57" w:type="dxa"/>
                                    <w:left w:w="28" w:type="dxa"/>
                                    <w:bottom w:w="57" w:type="dxa"/>
                                    <w:right w:w="28" w:type="dxa"/>
                                  </w:tcMar>
                                  <w:vAlign w:val="center"/>
                                </w:tcPr>
                                <w:p w:rsidR="001712A9" w:rsidRDefault="001712A9">
                                  <w:pPr>
                                    <w:jc w:val="right"/>
                                    <w:rPr>
                                      <w:rFonts w:ascii="Arial" w:hAnsi="Arial" w:cs="Arial"/>
                                      <w:sz w:val="16"/>
                                    </w:rPr>
                                  </w:pPr>
                                  <w:r>
                                    <w:rPr>
                                      <w:rFonts w:ascii="Arial" w:hAnsi="Arial" w:cs="Arial"/>
                                      <w:sz w:val="16"/>
                                    </w:rPr>
                                    <w:t>13.0</w:t>
                                  </w:r>
                                </w:p>
                              </w:tc>
                              <w:tc>
                                <w:tcPr>
                                  <w:tcW w:w="888" w:type="dxa"/>
                                  <w:tcMar>
                                    <w:top w:w="57" w:type="dxa"/>
                                    <w:left w:w="28" w:type="dxa"/>
                                    <w:bottom w:w="57" w:type="dxa"/>
                                    <w:right w:w="28" w:type="dxa"/>
                                  </w:tcMar>
                                  <w:vAlign w:val="center"/>
                                </w:tcPr>
                                <w:p w:rsidR="001712A9" w:rsidRDefault="001712A9">
                                  <w:pPr>
                                    <w:ind w:right="182"/>
                                    <w:jc w:val="right"/>
                                    <w:rPr>
                                      <w:rFonts w:ascii="Arial" w:hAnsi="Arial" w:cs="Arial"/>
                                      <w:sz w:val="16"/>
                                    </w:rPr>
                                  </w:pPr>
                                  <w:r>
                                    <w:rPr>
                                      <w:rFonts w:ascii="Arial" w:hAnsi="Arial" w:cs="Arial"/>
                                      <w:sz w:val="16"/>
                                    </w:rPr>
                                    <w:t>4.4</w:t>
                                  </w:r>
                                </w:p>
                              </w:tc>
                              <w:tc>
                                <w:tcPr>
                                  <w:tcW w:w="706" w:type="dxa"/>
                                  <w:tcMar>
                                    <w:top w:w="57" w:type="dxa"/>
                                    <w:left w:w="28" w:type="dxa"/>
                                    <w:bottom w:w="57" w:type="dxa"/>
                                    <w:right w:w="28" w:type="dxa"/>
                                  </w:tcMar>
                                  <w:vAlign w:val="center"/>
                                </w:tcPr>
                                <w:p w:rsidR="001712A9" w:rsidRDefault="001712A9">
                                  <w:pPr>
                                    <w:jc w:val="right"/>
                                    <w:rPr>
                                      <w:rFonts w:ascii="Arial" w:hAnsi="Arial" w:cs="Arial"/>
                                      <w:sz w:val="16"/>
                                    </w:rPr>
                                  </w:pPr>
                                  <w:r>
                                    <w:rPr>
                                      <w:rFonts w:ascii="Arial" w:hAnsi="Arial" w:cs="Arial"/>
                                      <w:sz w:val="16"/>
                                    </w:rPr>
                                    <w:t>10.7</w:t>
                                  </w:r>
                                </w:p>
                              </w:tc>
                              <w:tc>
                                <w:tcPr>
                                  <w:tcW w:w="706" w:type="dxa"/>
                                  <w:tcBorders>
                                    <w:right w:val="nil"/>
                                  </w:tcBorders>
                                  <w:tcMar>
                                    <w:top w:w="57" w:type="dxa"/>
                                    <w:left w:w="28" w:type="dxa"/>
                                    <w:bottom w:w="57" w:type="dxa"/>
                                    <w:right w:w="28" w:type="dxa"/>
                                  </w:tcMar>
                                  <w:vAlign w:val="center"/>
                                </w:tcPr>
                                <w:p w:rsidR="001712A9" w:rsidRDefault="001712A9">
                                  <w:pPr>
                                    <w:jc w:val="right"/>
                                    <w:rPr>
                                      <w:rFonts w:ascii="Arial" w:hAnsi="Arial" w:cs="Arial"/>
                                      <w:sz w:val="16"/>
                                    </w:rPr>
                                  </w:pPr>
                                  <w:r>
                                    <w:rPr>
                                      <w:rFonts w:ascii="Arial" w:hAnsi="Arial" w:cs="Arial"/>
                                      <w:sz w:val="16"/>
                                    </w:rPr>
                                    <w:t>186.2</w:t>
                                  </w:r>
                                </w:p>
                              </w:tc>
                            </w:tr>
                            <w:tr w:rsidR="001712A9">
                              <w:tc>
                                <w:tcPr>
                                  <w:tcW w:w="1622" w:type="dxa"/>
                                  <w:tcBorders>
                                    <w:left w:val="nil"/>
                                  </w:tcBorders>
                                  <w:tcMar>
                                    <w:top w:w="57" w:type="dxa"/>
                                    <w:left w:w="28" w:type="dxa"/>
                                    <w:bottom w:w="57" w:type="dxa"/>
                                    <w:right w:w="28" w:type="dxa"/>
                                  </w:tcMar>
                                  <w:vAlign w:val="center"/>
                                </w:tcPr>
                                <w:p w:rsidR="001712A9" w:rsidRDefault="001712A9">
                                  <w:pPr>
                                    <w:rPr>
                                      <w:rFonts w:ascii="Arial" w:hAnsi="Arial" w:cs="Arial"/>
                                      <w:sz w:val="16"/>
                                    </w:rPr>
                                  </w:pPr>
                                  <w:r>
                                    <w:rPr>
                                      <w:rFonts w:ascii="Arial" w:hAnsi="Arial" w:cs="Arial"/>
                                      <w:sz w:val="16"/>
                                    </w:rPr>
                                    <w:t>Sessile oak</w:t>
                                  </w:r>
                                </w:p>
                              </w:tc>
                              <w:tc>
                                <w:tcPr>
                                  <w:tcW w:w="760" w:type="dxa"/>
                                  <w:tcMar>
                                    <w:top w:w="57" w:type="dxa"/>
                                    <w:left w:w="28" w:type="dxa"/>
                                    <w:bottom w:w="57" w:type="dxa"/>
                                    <w:right w:w="28" w:type="dxa"/>
                                  </w:tcMar>
                                  <w:vAlign w:val="center"/>
                                </w:tcPr>
                                <w:p w:rsidR="001712A9" w:rsidRDefault="001712A9">
                                  <w:pPr>
                                    <w:tabs>
                                      <w:tab w:val="left" w:pos="542"/>
                                    </w:tabs>
                                    <w:ind w:right="54"/>
                                    <w:jc w:val="right"/>
                                    <w:rPr>
                                      <w:rFonts w:ascii="Arial" w:hAnsi="Arial" w:cs="Arial"/>
                                      <w:sz w:val="16"/>
                                    </w:rPr>
                                  </w:pPr>
                                  <w:r>
                                    <w:rPr>
                                      <w:rFonts w:ascii="Arial" w:hAnsi="Arial" w:cs="Arial"/>
                                      <w:sz w:val="16"/>
                                    </w:rPr>
                                    <w:t>4.5</w:t>
                                  </w:r>
                                </w:p>
                              </w:tc>
                              <w:tc>
                                <w:tcPr>
                                  <w:tcW w:w="780" w:type="dxa"/>
                                  <w:tcMar>
                                    <w:top w:w="57" w:type="dxa"/>
                                    <w:left w:w="28" w:type="dxa"/>
                                    <w:bottom w:w="57" w:type="dxa"/>
                                    <w:right w:w="28" w:type="dxa"/>
                                  </w:tcMar>
                                  <w:vAlign w:val="center"/>
                                </w:tcPr>
                                <w:p w:rsidR="001712A9" w:rsidRDefault="001712A9">
                                  <w:pPr>
                                    <w:ind w:right="98"/>
                                    <w:jc w:val="right"/>
                                    <w:rPr>
                                      <w:rFonts w:ascii="Arial" w:hAnsi="Arial" w:cs="Arial"/>
                                      <w:sz w:val="16"/>
                                    </w:rPr>
                                  </w:pPr>
                                </w:p>
                              </w:tc>
                              <w:tc>
                                <w:tcPr>
                                  <w:tcW w:w="706" w:type="dxa"/>
                                  <w:tcMar>
                                    <w:top w:w="57" w:type="dxa"/>
                                    <w:left w:w="28" w:type="dxa"/>
                                    <w:bottom w:w="57" w:type="dxa"/>
                                    <w:right w:w="28" w:type="dxa"/>
                                  </w:tcMar>
                                  <w:vAlign w:val="center"/>
                                </w:tcPr>
                                <w:p w:rsidR="001712A9" w:rsidRDefault="001712A9">
                                  <w:pPr>
                                    <w:jc w:val="right"/>
                                    <w:rPr>
                                      <w:rFonts w:ascii="Arial" w:hAnsi="Arial" w:cs="Arial"/>
                                      <w:sz w:val="16"/>
                                    </w:rPr>
                                  </w:pPr>
                                  <w:r>
                                    <w:rPr>
                                      <w:rFonts w:ascii="Arial" w:hAnsi="Arial" w:cs="Arial"/>
                                      <w:sz w:val="16"/>
                                    </w:rPr>
                                    <w:t>43.0</w:t>
                                  </w:r>
                                </w:p>
                              </w:tc>
                              <w:tc>
                                <w:tcPr>
                                  <w:tcW w:w="888" w:type="dxa"/>
                                  <w:tcMar>
                                    <w:top w:w="57" w:type="dxa"/>
                                    <w:left w:w="28" w:type="dxa"/>
                                    <w:bottom w:w="57" w:type="dxa"/>
                                    <w:right w:w="28" w:type="dxa"/>
                                  </w:tcMar>
                                  <w:vAlign w:val="center"/>
                                </w:tcPr>
                                <w:p w:rsidR="001712A9" w:rsidRDefault="001712A9">
                                  <w:pPr>
                                    <w:ind w:right="182"/>
                                    <w:jc w:val="right"/>
                                    <w:rPr>
                                      <w:rFonts w:ascii="Arial" w:hAnsi="Arial" w:cs="Arial"/>
                                      <w:sz w:val="16"/>
                                    </w:rPr>
                                  </w:pPr>
                                  <w:r>
                                    <w:rPr>
                                      <w:rFonts w:ascii="Arial" w:hAnsi="Arial" w:cs="Arial"/>
                                      <w:sz w:val="16"/>
                                    </w:rPr>
                                    <w:t>27.6</w:t>
                                  </w:r>
                                </w:p>
                              </w:tc>
                              <w:tc>
                                <w:tcPr>
                                  <w:tcW w:w="706" w:type="dxa"/>
                                  <w:tcMar>
                                    <w:top w:w="57" w:type="dxa"/>
                                    <w:left w:w="28" w:type="dxa"/>
                                    <w:bottom w:w="57" w:type="dxa"/>
                                    <w:right w:w="28" w:type="dxa"/>
                                  </w:tcMar>
                                  <w:vAlign w:val="center"/>
                                </w:tcPr>
                                <w:p w:rsidR="001712A9" w:rsidRDefault="001712A9">
                                  <w:pPr>
                                    <w:jc w:val="right"/>
                                    <w:rPr>
                                      <w:rFonts w:ascii="Arial" w:hAnsi="Arial" w:cs="Arial"/>
                                      <w:sz w:val="16"/>
                                    </w:rPr>
                                  </w:pPr>
                                  <w:r>
                                    <w:rPr>
                                      <w:rFonts w:ascii="Arial" w:hAnsi="Arial" w:cs="Arial"/>
                                      <w:sz w:val="16"/>
                                    </w:rPr>
                                    <w:t>42.9</w:t>
                                  </w:r>
                                </w:p>
                              </w:tc>
                              <w:tc>
                                <w:tcPr>
                                  <w:tcW w:w="706" w:type="dxa"/>
                                  <w:tcBorders>
                                    <w:right w:val="nil"/>
                                  </w:tcBorders>
                                  <w:tcMar>
                                    <w:top w:w="57" w:type="dxa"/>
                                    <w:left w:w="28" w:type="dxa"/>
                                    <w:bottom w:w="57" w:type="dxa"/>
                                    <w:right w:w="28" w:type="dxa"/>
                                  </w:tcMar>
                                  <w:vAlign w:val="center"/>
                                </w:tcPr>
                                <w:p w:rsidR="001712A9" w:rsidRDefault="001712A9">
                                  <w:pPr>
                                    <w:jc w:val="right"/>
                                    <w:rPr>
                                      <w:rFonts w:ascii="Arial" w:hAnsi="Arial" w:cs="Arial"/>
                                      <w:sz w:val="16"/>
                                    </w:rPr>
                                  </w:pPr>
                                  <w:r>
                                    <w:rPr>
                                      <w:rFonts w:ascii="Arial" w:hAnsi="Arial" w:cs="Arial"/>
                                      <w:sz w:val="16"/>
                                    </w:rPr>
                                    <w:t>595.8</w:t>
                                  </w:r>
                                </w:p>
                              </w:tc>
                            </w:tr>
                            <w:tr w:rsidR="001712A9">
                              <w:tc>
                                <w:tcPr>
                                  <w:tcW w:w="1622" w:type="dxa"/>
                                  <w:tcBorders>
                                    <w:left w:val="nil"/>
                                  </w:tcBorders>
                                  <w:tcMar>
                                    <w:top w:w="57" w:type="dxa"/>
                                    <w:left w:w="28" w:type="dxa"/>
                                    <w:bottom w:w="57" w:type="dxa"/>
                                    <w:right w:w="28" w:type="dxa"/>
                                  </w:tcMar>
                                  <w:vAlign w:val="center"/>
                                </w:tcPr>
                                <w:p w:rsidR="001712A9" w:rsidRDefault="001712A9">
                                  <w:pPr>
                                    <w:rPr>
                                      <w:rFonts w:ascii="Arial" w:hAnsi="Arial" w:cs="Arial"/>
                                      <w:sz w:val="16"/>
                                    </w:rPr>
                                  </w:pPr>
                                  <w:r>
                                    <w:rPr>
                                      <w:rFonts w:ascii="Arial" w:hAnsi="Arial" w:cs="Arial"/>
                                      <w:sz w:val="16"/>
                                    </w:rPr>
                                    <w:t>Japanese Larch</w:t>
                                  </w:r>
                                </w:p>
                              </w:tc>
                              <w:tc>
                                <w:tcPr>
                                  <w:tcW w:w="760" w:type="dxa"/>
                                  <w:tcMar>
                                    <w:top w:w="57" w:type="dxa"/>
                                    <w:left w:w="28" w:type="dxa"/>
                                    <w:bottom w:w="57" w:type="dxa"/>
                                    <w:right w:w="28" w:type="dxa"/>
                                  </w:tcMar>
                                  <w:vAlign w:val="center"/>
                                </w:tcPr>
                                <w:p w:rsidR="001712A9" w:rsidRDefault="001712A9">
                                  <w:pPr>
                                    <w:tabs>
                                      <w:tab w:val="left" w:pos="542"/>
                                    </w:tabs>
                                    <w:ind w:right="54"/>
                                    <w:jc w:val="right"/>
                                    <w:rPr>
                                      <w:rFonts w:ascii="Arial" w:hAnsi="Arial" w:cs="Arial"/>
                                      <w:sz w:val="16"/>
                                    </w:rPr>
                                  </w:pPr>
                                </w:p>
                              </w:tc>
                              <w:tc>
                                <w:tcPr>
                                  <w:tcW w:w="780" w:type="dxa"/>
                                  <w:tcMar>
                                    <w:top w:w="57" w:type="dxa"/>
                                    <w:left w:w="28" w:type="dxa"/>
                                    <w:bottom w:w="57" w:type="dxa"/>
                                    <w:right w:w="28" w:type="dxa"/>
                                  </w:tcMar>
                                  <w:vAlign w:val="center"/>
                                </w:tcPr>
                                <w:p w:rsidR="001712A9" w:rsidRDefault="001712A9">
                                  <w:pPr>
                                    <w:ind w:right="98"/>
                                    <w:jc w:val="right"/>
                                    <w:rPr>
                                      <w:rFonts w:ascii="Arial" w:hAnsi="Arial" w:cs="Arial"/>
                                      <w:sz w:val="16"/>
                                    </w:rPr>
                                  </w:pPr>
                                </w:p>
                              </w:tc>
                              <w:tc>
                                <w:tcPr>
                                  <w:tcW w:w="706" w:type="dxa"/>
                                  <w:tcMar>
                                    <w:top w:w="57" w:type="dxa"/>
                                    <w:left w:w="28" w:type="dxa"/>
                                    <w:bottom w:w="57" w:type="dxa"/>
                                    <w:right w:w="28" w:type="dxa"/>
                                  </w:tcMar>
                                  <w:vAlign w:val="center"/>
                                </w:tcPr>
                                <w:p w:rsidR="001712A9" w:rsidRDefault="001712A9">
                                  <w:pPr>
                                    <w:jc w:val="right"/>
                                    <w:rPr>
                                      <w:rFonts w:ascii="Arial" w:hAnsi="Arial" w:cs="Arial"/>
                                      <w:sz w:val="16"/>
                                    </w:rPr>
                                  </w:pPr>
                                </w:p>
                              </w:tc>
                              <w:tc>
                                <w:tcPr>
                                  <w:tcW w:w="888" w:type="dxa"/>
                                  <w:tcMar>
                                    <w:top w:w="57" w:type="dxa"/>
                                    <w:left w:w="28" w:type="dxa"/>
                                    <w:bottom w:w="57" w:type="dxa"/>
                                    <w:right w:w="28" w:type="dxa"/>
                                  </w:tcMar>
                                  <w:vAlign w:val="center"/>
                                </w:tcPr>
                                <w:p w:rsidR="001712A9" w:rsidRDefault="001712A9">
                                  <w:pPr>
                                    <w:ind w:right="182"/>
                                    <w:jc w:val="right"/>
                                    <w:rPr>
                                      <w:rFonts w:ascii="Arial" w:hAnsi="Arial" w:cs="Arial"/>
                                      <w:sz w:val="16"/>
                                    </w:rPr>
                                  </w:pPr>
                                </w:p>
                              </w:tc>
                              <w:tc>
                                <w:tcPr>
                                  <w:tcW w:w="706" w:type="dxa"/>
                                  <w:tcMar>
                                    <w:top w:w="57" w:type="dxa"/>
                                    <w:left w:w="28" w:type="dxa"/>
                                    <w:bottom w:w="57" w:type="dxa"/>
                                    <w:right w:w="28" w:type="dxa"/>
                                  </w:tcMar>
                                  <w:vAlign w:val="center"/>
                                </w:tcPr>
                                <w:p w:rsidR="001712A9" w:rsidRDefault="001712A9">
                                  <w:pPr>
                                    <w:jc w:val="right"/>
                                    <w:rPr>
                                      <w:rFonts w:ascii="Arial" w:hAnsi="Arial" w:cs="Arial"/>
                                      <w:sz w:val="16"/>
                                    </w:rPr>
                                  </w:pPr>
                                  <w:r>
                                    <w:rPr>
                                      <w:rFonts w:ascii="Arial" w:hAnsi="Arial" w:cs="Arial"/>
                                      <w:sz w:val="16"/>
                                    </w:rPr>
                                    <w:t>3.9</w:t>
                                  </w:r>
                                </w:p>
                              </w:tc>
                              <w:tc>
                                <w:tcPr>
                                  <w:tcW w:w="706" w:type="dxa"/>
                                  <w:tcBorders>
                                    <w:right w:val="nil"/>
                                  </w:tcBorders>
                                  <w:tcMar>
                                    <w:top w:w="57" w:type="dxa"/>
                                    <w:left w:w="28" w:type="dxa"/>
                                    <w:bottom w:w="57" w:type="dxa"/>
                                    <w:right w:w="28" w:type="dxa"/>
                                  </w:tcMar>
                                  <w:vAlign w:val="center"/>
                                </w:tcPr>
                                <w:p w:rsidR="001712A9" w:rsidRDefault="001712A9">
                                  <w:pPr>
                                    <w:jc w:val="right"/>
                                    <w:rPr>
                                      <w:rFonts w:ascii="Arial" w:hAnsi="Arial" w:cs="Arial"/>
                                      <w:sz w:val="16"/>
                                    </w:rPr>
                                  </w:pPr>
                                </w:p>
                              </w:tc>
                            </w:tr>
                            <w:tr w:rsidR="001712A9">
                              <w:tc>
                                <w:tcPr>
                                  <w:tcW w:w="1622" w:type="dxa"/>
                                  <w:tcBorders>
                                    <w:left w:val="nil"/>
                                  </w:tcBorders>
                                  <w:tcMar>
                                    <w:top w:w="57" w:type="dxa"/>
                                    <w:left w:w="28" w:type="dxa"/>
                                    <w:bottom w:w="57" w:type="dxa"/>
                                    <w:right w:w="28" w:type="dxa"/>
                                  </w:tcMar>
                                  <w:vAlign w:val="center"/>
                                </w:tcPr>
                                <w:p w:rsidR="001712A9" w:rsidRDefault="001712A9">
                                  <w:pPr>
                                    <w:rPr>
                                      <w:rFonts w:ascii="Arial" w:hAnsi="Arial" w:cs="Arial"/>
                                      <w:sz w:val="16"/>
                                    </w:rPr>
                                  </w:pPr>
                                  <w:r>
                                    <w:rPr>
                                      <w:rFonts w:ascii="Arial" w:hAnsi="Arial" w:cs="Arial"/>
                                      <w:sz w:val="16"/>
                                    </w:rPr>
                                    <w:t>Noble fir</w:t>
                                  </w:r>
                                </w:p>
                              </w:tc>
                              <w:tc>
                                <w:tcPr>
                                  <w:tcW w:w="760" w:type="dxa"/>
                                  <w:tcMar>
                                    <w:top w:w="57" w:type="dxa"/>
                                    <w:left w:w="28" w:type="dxa"/>
                                    <w:bottom w:w="57" w:type="dxa"/>
                                    <w:right w:w="28" w:type="dxa"/>
                                  </w:tcMar>
                                  <w:vAlign w:val="center"/>
                                </w:tcPr>
                                <w:p w:rsidR="001712A9" w:rsidRDefault="001712A9">
                                  <w:pPr>
                                    <w:tabs>
                                      <w:tab w:val="left" w:pos="542"/>
                                    </w:tabs>
                                    <w:ind w:right="54"/>
                                    <w:jc w:val="right"/>
                                    <w:rPr>
                                      <w:rFonts w:ascii="Arial" w:hAnsi="Arial" w:cs="Arial"/>
                                      <w:sz w:val="16"/>
                                    </w:rPr>
                                  </w:pPr>
                                </w:p>
                              </w:tc>
                              <w:tc>
                                <w:tcPr>
                                  <w:tcW w:w="780" w:type="dxa"/>
                                  <w:tcMar>
                                    <w:top w:w="57" w:type="dxa"/>
                                    <w:left w:w="28" w:type="dxa"/>
                                    <w:bottom w:w="57" w:type="dxa"/>
                                    <w:right w:w="28" w:type="dxa"/>
                                  </w:tcMar>
                                  <w:vAlign w:val="center"/>
                                </w:tcPr>
                                <w:p w:rsidR="001712A9" w:rsidRDefault="001712A9">
                                  <w:pPr>
                                    <w:ind w:right="98"/>
                                    <w:jc w:val="right"/>
                                    <w:rPr>
                                      <w:rFonts w:ascii="Arial" w:hAnsi="Arial" w:cs="Arial"/>
                                      <w:sz w:val="16"/>
                                    </w:rPr>
                                  </w:pPr>
                                  <w:r>
                                    <w:rPr>
                                      <w:rFonts w:ascii="Arial" w:hAnsi="Arial" w:cs="Arial"/>
                                      <w:sz w:val="16"/>
                                    </w:rPr>
                                    <w:t>7.0</w:t>
                                  </w:r>
                                </w:p>
                              </w:tc>
                              <w:tc>
                                <w:tcPr>
                                  <w:tcW w:w="706" w:type="dxa"/>
                                  <w:tcMar>
                                    <w:top w:w="57" w:type="dxa"/>
                                    <w:left w:w="28" w:type="dxa"/>
                                    <w:bottom w:w="57" w:type="dxa"/>
                                    <w:right w:w="28" w:type="dxa"/>
                                  </w:tcMar>
                                  <w:vAlign w:val="center"/>
                                </w:tcPr>
                                <w:p w:rsidR="001712A9" w:rsidRDefault="001712A9">
                                  <w:pPr>
                                    <w:jc w:val="right"/>
                                    <w:rPr>
                                      <w:rFonts w:ascii="Arial" w:hAnsi="Arial" w:cs="Arial"/>
                                      <w:sz w:val="16"/>
                                    </w:rPr>
                                  </w:pPr>
                                </w:p>
                              </w:tc>
                              <w:tc>
                                <w:tcPr>
                                  <w:tcW w:w="888" w:type="dxa"/>
                                  <w:tcMar>
                                    <w:top w:w="57" w:type="dxa"/>
                                    <w:left w:w="28" w:type="dxa"/>
                                    <w:bottom w:w="57" w:type="dxa"/>
                                    <w:right w:w="28" w:type="dxa"/>
                                  </w:tcMar>
                                  <w:vAlign w:val="center"/>
                                </w:tcPr>
                                <w:p w:rsidR="001712A9" w:rsidRDefault="001712A9">
                                  <w:pPr>
                                    <w:ind w:right="182"/>
                                    <w:jc w:val="right"/>
                                    <w:rPr>
                                      <w:rFonts w:ascii="Arial" w:hAnsi="Arial" w:cs="Arial"/>
                                      <w:sz w:val="16"/>
                                    </w:rPr>
                                  </w:pPr>
                                </w:p>
                              </w:tc>
                              <w:tc>
                                <w:tcPr>
                                  <w:tcW w:w="706" w:type="dxa"/>
                                  <w:tcMar>
                                    <w:top w:w="57" w:type="dxa"/>
                                    <w:left w:w="28" w:type="dxa"/>
                                    <w:bottom w:w="57" w:type="dxa"/>
                                    <w:right w:w="28" w:type="dxa"/>
                                  </w:tcMar>
                                  <w:vAlign w:val="center"/>
                                </w:tcPr>
                                <w:p w:rsidR="001712A9" w:rsidRDefault="001712A9">
                                  <w:pPr>
                                    <w:jc w:val="right"/>
                                    <w:rPr>
                                      <w:rFonts w:ascii="Arial" w:hAnsi="Arial" w:cs="Arial"/>
                                      <w:sz w:val="16"/>
                                    </w:rPr>
                                  </w:pPr>
                                </w:p>
                              </w:tc>
                              <w:tc>
                                <w:tcPr>
                                  <w:tcW w:w="706" w:type="dxa"/>
                                  <w:tcBorders>
                                    <w:right w:val="nil"/>
                                  </w:tcBorders>
                                  <w:tcMar>
                                    <w:top w:w="57" w:type="dxa"/>
                                    <w:left w:w="28" w:type="dxa"/>
                                    <w:bottom w:w="57" w:type="dxa"/>
                                    <w:right w:w="28" w:type="dxa"/>
                                  </w:tcMar>
                                  <w:vAlign w:val="center"/>
                                </w:tcPr>
                                <w:p w:rsidR="001712A9" w:rsidRDefault="001712A9">
                                  <w:pPr>
                                    <w:jc w:val="right"/>
                                    <w:rPr>
                                      <w:rFonts w:ascii="Arial" w:hAnsi="Arial" w:cs="Arial"/>
                                      <w:sz w:val="16"/>
                                    </w:rPr>
                                  </w:pPr>
                                </w:p>
                              </w:tc>
                            </w:tr>
                            <w:tr w:rsidR="001712A9">
                              <w:tc>
                                <w:tcPr>
                                  <w:tcW w:w="1622" w:type="dxa"/>
                                  <w:tcBorders>
                                    <w:left w:val="nil"/>
                                  </w:tcBorders>
                                  <w:tcMar>
                                    <w:top w:w="57" w:type="dxa"/>
                                    <w:left w:w="28" w:type="dxa"/>
                                    <w:bottom w:w="57" w:type="dxa"/>
                                    <w:right w:w="28" w:type="dxa"/>
                                  </w:tcMar>
                                  <w:vAlign w:val="center"/>
                                </w:tcPr>
                                <w:p w:rsidR="001712A9" w:rsidRDefault="001712A9">
                                  <w:pPr>
                                    <w:rPr>
                                      <w:rFonts w:ascii="Arial" w:hAnsi="Arial" w:cs="Arial"/>
                                      <w:sz w:val="16"/>
                                    </w:rPr>
                                  </w:pPr>
                                  <w:r>
                                    <w:rPr>
                                      <w:rFonts w:ascii="Arial" w:hAnsi="Arial" w:cs="Arial"/>
                                      <w:sz w:val="16"/>
                                    </w:rPr>
                                    <w:t>Douglas fir</w:t>
                                  </w:r>
                                </w:p>
                              </w:tc>
                              <w:tc>
                                <w:tcPr>
                                  <w:tcW w:w="760" w:type="dxa"/>
                                  <w:tcMar>
                                    <w:top w:w="57" w:type="dxa"/>
                                    <w:left w:w="28" w:type="dxa"/>
                                    <w:bottom w:w="57" w:type="dxa"/>
                                    <w:right w:w="28" w:type="dxa"/>
                                  </w:tcMar>
                                  <w:vAlign w:val="center"/>
                                </w:tcPr>
                                <w:p w:rsidR="001712A9" w:rsidRDefault="001712A9">
                                  <w:pPr>
                                    <w:tabs>
                                      <w:tab w:val="left" w:pos="542"/>
                                    </w:tabs>
                                    <w:ind w:right="54"/>
                                    <w:jc w:val="right"/>
                                    <w:rPr>
                                      <w:rFonts w:ascii="Arial" w:hAnsi="Arial" w:cs="Arial"/>
                                      <w:sz w:val="16"/>
                                    </w:rPr>
                                  </w:pPr>
                                </w:p>
                              </w:tc>
                              <w:tc>
                                <w:tcPr>
                                  <w:tcW w:w="780" w:type="dxa"/>
                                  <w:tcMar>
                                    <w:top w:w="57" w:type="dxa"/>
                                    <w:left w:w="28" w:type="dxa"/>
                                    <w:bottom w:w="57" w:type="dxa"/>
                                    <w:right w:w="28" w:type="dxa"/>
                                  </w:tcMar>
                                  <w:vAlign w:val="center"/>
                                </w:tcPr>
                                <w:p w:rsidR="001712A9" w:rsidRDefault="001712A9">
                                  <w:pPr>
                                    <w:ind w:right="98"/>
                                    <w:jc w:val="right"/>
                                    <w:rPr>
                                      <w:rFonts w:ascii="Arial" w:hAnsi="Arial" w:cs="Arial"/>
                                      <w:sz w:val="16"/>
                                    </w:rPr>
                                  </w:pPr>
                                  <w:r>
                                    <w:rPr>
                                      <w:rFonts w:ascii="Arial" w:hAnsi="Arial" w:cs="Arial"/>
                                      <w:sz w:val="16"/>
                                    </w:rPr>
                                    <w:t>31.7</w:t>
                                  </w:r>
                                </w:p>
                              </w:tc>
                              <w:tc>
                                <w:tcPr>
                                  <w:tcW w:w="706" w:type="dxa"/>
                                  <w:tcMar>
                                    <w:top w:w="57" w:type="dxa"/>
                                    <w:left w:w="28" w:type="dxa"/>
                                    <w:bottom w:w="57" w:type="dxa"/>
                                    <w:right w:w="28" w:type="dxa"/>
                                  </w:tcMar>
                                  <w:vAlign w:val="center"/>
                                </w:tcPr>
                                <w:p w:rsidR="001712A9" w:rsidRDefault="001712A9">
                                  <w:pPr>
                                    <w:jc w:val="right"/>
                                    <w:rPr>
                                      <w:rFonts w:ascii="Arial" w:hAnsi="Arial" w:cs="Arial"/>
                                      <w:sz w:val="16"/>
                                    </w:rPr>
                                  </w:pPr>
                                </w:p>
                              </w:tc>
                              <w:tc>
                                <w:tcPr>
                                  <w:tcW w:w="888" w:type="dxa"/>
                                  <w:tcMar>
                                    <w:top w:w="57" w:type="dxa"/>
                                    <w:left w:w="28" w:type="dxa"/>
                                    <w:bottom w:w="57" w:type="dxa"/>
                                    <w:right w:w="28" w:type="dxa"/>
                                  </w:tcMar>
                                  <w:vAlign w:val="center"/>
                                </w:tcPr>
                                <w:p w:rsidR="001712A9" w:rsidRDefault="001712A9">
                                  <w:pPr>
                                    <w:ind w:right="182"/>
                                    <w:jc w:val="right"/>
                                    <w:rPr>
                                      <w:rFonts w:ascii="Arial" w:hAnsi="Arial" w:cs="Arial"/>
                                      <w:sz w:val="16"/>
                                    </w:rPr>
                                  </w:pPr>
                                  <w:r>
                                    <w:rPr>
                                      <w:rFonts w:ascii="Arial" w:hAnsi="Arial" w:cs="Arial"/>
                                      <w:sz w:val="16"/>
                                    </w:rPr>
                                    <w:t>15.6</w:t>
                                  </w:r>
                                </w:p>
                              </w:tc>
                              <w:tc>
                                <w:tcPr>
                                  <w:tcW w:w="706" w:type="dxa"/>
                                  <w:tcMar>
                                    <w:top w:w="57" w:type="dxa"/>
                                    <w:left w:w="28" w:type="dxa"/>
                                    <w:bottom w:w="57" w:type="dxa"/>
                                    <w:right w:w="28" w:type="dxa"/>
                                  </w:tcMar>
                                  <w:vAlign w:val="center"/>
                                </w:tcPr>
                                <w:p w:rsidR="001712A9" w:rsidRDefault="001712A9">
                                  <w:pPr>
                                    <w:jc w:val="right"/>
                                    <w:rPr>
                                      <w:rFonts w:ascii="Arial" w:hAnsi="Arial" w:cs="Arial"/>
                                      <w:sz w:val="16"/>
                                    </w:rPr>
                                  </w:pPr>
                                  <w:r>
                                    <w:rPr>
                                      <w:rFonts w:ascii="Arial" w:hAnsi="Arial" w:cs="Arial"/>
                                      <w:sz w:val="16"/>
                                    </w:rPr>
                                    <w:t>52.1</w:t>
                                  </w:r>
                                </w:p>
                              </w:tc>
                              <w:tc>
                                <w:tcPr>
                                  <w:tcW w:w="706" w:type="dxa"/>
                                  <w:tcBorders>
                                    <w:right w:val="nil"/>
                                  </w:tcBorders>
                                  <w:tcMar>
                                    <w:top w:w="57" w:type="dxa"/>
                                    <w:left w:w="28" w:type="dxa"/>
                                    <w:bottom w:w="57" w:type="dxa"/>
                                    <w:right w:w="28" w:type="dxa"/>
                                  </w:tcMar>
                                  <w:vAlign w:val="center"/>
                                </w:tcPr>
                                <w:p w:rsidR="001712A9" w:rsidRDefault="001712A9">
                                  <w:pPr>
                                    <w:jc w:val="right"/>
                                    <w:rPr>
                                      <w:rFonts w:ascii="Arial" w:hAnsi="Arial" w:cs="Arial"/>
                                      <w:sz w:val="16"/>
                                    </w:rPr>
                                  </w:pPr>
                                </w:p>
                              </w:tc>
                            </w:tr>
                            <w:tr w:rsidR="001712A9">
                              <w:tc>
                                <w:tcPr>
                                  <w:tcW w:w="1622" w:type="dxa"/>
                                  <w:tcBorders>
                                    <w:left w:val="nil"/>
                                  </w:tcBorders>
                                  <w:tcMar>
                                    <w:top w:w="57" w:type="dxa"/>
                                    <w:left w:w="28" w:type="dxa"/>
                                    <w:bottom w:w="57" w:type="dxa"/>
                                    <w:right w:w="28" w:type="dxa"/>
                                  </w:tcMar>
                                  <w:vAlign w:val="center"/>
                                </w:tcPr>
                                <w:p w:rsidR="001712A9" w:rsidRDefault="001712A9">
                                  <w:pPr>
                                    <w:rPr>
                                      <w:rFonts w:ascii="Arial" w:hAnsi="Arial" w:cs="Arial"/>
                                      <w:sz w:val="16"/>
                                    </w:rPr>
                                  </w:pPr>
                                  <w:r>
                                    <w:rPr>
                                      <w:rFonts w:ascii="Arial" w:hAnsi="Arial" w:cs="Arial"/>
                                      <w:sz w:val="16"/>
                                    </w:rPr>
                                    <w:t>Sycamore</w:t>
                                  </w:r>
                                </w:p>
                              </w:tc>
                              <w:tc>
                                <w:tcPr>
                                  <w:tcW w:w="760" w:type="dxa"/>
                                  <w:tcMar>
                                    <w:top w:w="57" w:type="dxa"/>
                                    <w:left w:w="28" w:type="dxa"/>
                                    <w:bottom w:w="57" w:type="dxa"/>
                                    <w:right w:w="28" w:type="dxa"/>
                                  </w:tcMar>
                                  <w:vAlign w:val="center"/>
                                </w:tcPr>
                                <w:p w:rsidR="001712A9" w:rsidRDefault="001712A9">
                                  <w:pPr>
                                    <w:tabs>
                                      <w:tab w:val="left" w:pos="542"/>
                                    </w:tabs>
                                    <w:ind w:right="54"/>
                                    <w:jc w:val="right"/>
                                    <w:rPr>
                                      <w:rFonts w:ascii="Arial" w:hAnsi="Arial" w:cs="Arial"/>
                                      <w:sz w:val="16"/>
                                    </w:rPr>
                                  </w:pPr>
                                </w:p>
                              </w:tc>
                              <w:tc>
                                <w:tcPr>
                                  <w:tcW w:w="780" w:type="dxa"/>
                                  <w:tcMar>
                                    <w:top w:w="57" w:type="dxa"/>
                                    <w:left w:w="28" w:type="dxa"/>
                                    <w:bottom w:w="57" w:type="dxa"/>
                                    <w:right w:w="28" w:type="dxa"/>
                                  </w:tcMar>
                                  <w:vAlign w:val="center"/>
                                </w:tcPr>
                                <w:p w:rsidR="001712A9" w:rsidRDefault="001712A9">
                                  <w:pPr>
                                    <w:ind w:right="98"/>
                                    <w:jc w:val="right"/>
                                    <w:rPr>
                                      <w:rFonts w:ascii="Arial" w:hAnsi="Arial" w:cs="Arial"/>
                                      <w:sz w:val="16"/>
                                    </w:rPr>
                                  </w:pPr>
                                </w:p>
                              </w:tc>
                              <w:tc>
                                <w:tcPr>
                                  <w:tcW w:w="706" w:type="dxa"/>
                                  <w:tcMar>
                                    <w:top w:w="57" w:type="dxa"/>
                                    <w:left w:w="28" w:type="dxa"/>
                                    <w:bottom w:w="57" w:type="dxa"/>
                                    <w:right w:w="28" w:type="dxa"/>
                                  </w:tcMar>
                                  <w:vAlign w:val="center"/>
                                </w:tcPr>
                                <w:p w:rsidR="001712A9" w:rsidRDefault="001712A9">
                                  <w:pPr>
                                    <w:jc w:val="right"/>
                                    <w:rPr>
                                      <w:rFonts w:ascii="Arial" w:hAnsi="Arial" w:cs="Arial"/>
                                      <w:sz w:val="16"/>
                                    </w:rPr>
                                  </w:pPr>
                                  <w:r>
                                    <w:rPr>
                                      <w:rFonts w:ascii="Arial" w:hAnsi="Arial" w:cs="Arial"/>
                                      <w:sz w:val="16"/>
                                    </w:rPr>
                                    <w:t>11.2</w:t>
                                  </w:r>
                                </w:p>
                              </w:tc>
                              <w:tc>
                                <w:tcPr>
                                  <w:tcW w:w="888" w:type="dxa"/>
                                  <w:tcMar>
                                    <w:top w:w="57" w:type="dxa"/>
                                    <w:left w:w="28" w:type="dxa"/>
                                    <w:bottom w:w="57" w:type="dxa"/>
                                    <w:right w:w="28" w:type="dxa"/>
                                  </w:tcMar>
                                  <w:vAlign w:val="center"/>
                                </w:tcPr>
                                <w:p w:rsidR="001712A9" w:rsidRDefault="001712A9">
                                  <w:pPr>
                                    <w:ind w:right="182"/>
                                    <w:jc w:val="right"/>
                                    <w:rPr>
                                      <w:rFonts w:ascii="Arial" w:hAnsi="Arial" w:cs="Arial"/>
                                      <w:sz w:val="16"/>
                                    </w:rPr>
                                  </w:pPr>
                                </w:p>
                              </w:tc>
                              <w:tc>
                                <w:tcPr>
                                  <w:tcW w:w="706" w:type="dxa"/>
                                  <w:tcMar>
                                    <w:top w:w="57" w:type="dxa"/>
                                    <w:left w:w="28" w:type="dxa"/>
                                    <w:bottom w:w="57" w:type="dxa"/>
                                    <w:right w:w="28" w:type="dxa"/>
                                  </w:tcMar>
                                  <w:vAlign w:val="center"/>
                                </w:tcPr>
                                <w:p w:rsidR="001712A9" w:rsidRDefault="001712A9">
                                  <w:pPr>
                                    <w:jc w:val="right"/>
                                    <w:rPr>
                                      <w:rFonts w:ascii="Arial" w:hAnsi="Arial" w:cs="Arial"/>
                                      <w:sz w:val="16"/>
                                    </w:rPr>
                                  </w:pPr>
                                </w:p>
                              </w:tc>
                              <w:tc>
                                <w:tcPr>
                                  <w:tcW w:w="706" w:type="dxa"/>
                                  <w:tcBorders>
                                    <w:right w:val="nil"/>
                                  </w:tcBorders>
                                  <w:tcMar>
                                    <w:top w:w="57" w:type="dxa"/>
                                    <w:left w:w="28" w:type="dxa"/>
                                    <w:bottom w:w="57" w:type="dxa"/>
                                    <w:right w:w="28" w:type="dxa"/>
                                  </w:tcMar>
                                  <w:vAlign w:val="center"/>
                                </w:tcPr>
                                <w:p w:rsidR="001712A9" w:rsidRDefault="001712A9">
                                  <w:pPr>
                                    <w:jc w:val="right"/>
                                    <w:rPr>
                                      <w:rFonts w:ascii="Arial" w:hAnsi="Arial" w:cs="Arial"/>
                                      <w:sz w:val="16"/>
                                    </w:rPr>
                                  </w:pPr>
                                </w:p>
                              </w:tc>
                            </w:tr>
                            <w:tr w:rsidR="001712A9">
                              <w:tc>
                                <w:tcPr>
                                  <w:tcW w:w="1622" w:type="dxa"/>
                                  <w:tcBorders>
                                    <w:left w:val="nil"/>
                                  </w:tcBorders>
                                  <w:tcMar>
                                    <w:top w:w="57" w:type="dxa"/>
                                    <w:left w:w="28" w:type="dxa"/>
                                    <w:bottom w:w="57" w:type="dxa"/>
                                    <w:right w:w="28" w:type="dxa"/>
                                  </w:tcMar>
                                  <w:vAlign w:val="center"/>
                                </w:tcPr>
                                <w:p w:rsidR="001712A9" w:rsidRDefault="001712A9">
                                  <w:pPr>
                                    <w:rPr>
                                      <w:rFonts w:ascii="Arial" w:hAnsi="Arial" w:cs="Arial"/>
                                      <w:sz w:val="16"/>
                                    </w:rPr>
                                  </w:pPr>
                                  <w:r>
                                    <w:rPr>
                                      <w:rFonts w:ascii="Arial" w:hAnsi="Arial" w:cs="Arial"/>
                                      <w:sz w:val="16"/>
                                    </w:rPr>
                                    <w:t>Monterey pine</w:t>
                                  </w:r>
                                </w:p>
                              </w:tc>
                              <w:tc>
                                <w:tcPr>
                                  <w:tcW w:w="760" w:type="dxa"/>
                                  <w:tcMar>
                                    <w:top w:w="57" w:type="dxa"/>
                                    <w:left w:w="28" w:type="dxa"/>
                                    <w:bottom w:w="57" w:type="dxa"/>
                                    <w:right w:w="28" w:type="dxa"/>
                                  </w:tcMar>
                                  <w:vAlign w:val="center"/>
                                </w:tcPr>
                                <w:p w:rsidR="001712A9" w:rsidRDefault="001712A9">
                                  <w:pPr>
                                    <w:tabs>
                                      <w:tab w:val="left" w:pos="542"/>
                                    </w:tabs>
                                    <w:ind w:right="54"/>
                                    <w:jc w:val="right"/>
                                    <w:rPr>
                                      <w:rFonts w:ascii="Arial" w:hAnsi="Arial" w:cs="Arial"/>
                                      <w:sz w:val="16"/>
                                    </w:rPr>
                                  </w:pPr>
                                </w:p>
                              </w:tc>
                              <w:tc>
                                <w:tcPr>
                                  <w:tcW w:w="780" w:type="dxa"/>
                                  <w:tcMar>
                                    <w:top w:w="57" w:type="dxa"/>
                                    <w:left w:w="28" w:type="dxa"/>
                                    <w:bottom w:w="57" w:type="dxa"/>
                                    <w:right w:w="28" w:type="dxa"/>
                                  </w:tcMar>
                                  <w:vAlign w:val="center"/>
                                </w:tcPr>
                                <w:p w:rsidR="001712A9" w:rsidRDefault="001712A9">
                                  <w:pPr>
                                    <w:ind w:right="98"/>
                                    <w:jc w:val="right"/>
                                    <w:rPr>
                                      <w:rFonts w:ascii="Arial" w:hAnsi="Arial" w:cs="Arial"/>
                                      <w:sz w:val="16"/>
                                    </w:rPr>
                                  </w:pPr>
                                </w:p>
                              </w:tc>
                              <w:tc>
                                <w:tcPr>
                                  <w:tcW w:w="706" w:type="dxa"/>
                                  <w:tcMar>
                                    <w:top w:w="57" w:type="dxa"/>
                                    <w:left w:w="28" w:type="dxa"/>
                                    <w:bottom w:w="57" w:type="dxa"/>
                                    <w:right w:w="28" w:type="dxa"/>
                                  </w:tcMar>
                                  <w:vAlign w:val="center"/>
                                </w:tcPr>
                                <w:p w:rsidR="001712A9" w:rsidRDefault="001712A9">
                                  <w:pPr>
                                    <w:jc w:val="right"/>
                                    <w:rPr>
                                      <w:rFonts w:ascii="Arial" w:hAnsi="Arial" w:cs="Arial"/>
                                      <w:sz w:val="16"/>
                                    </w:rPr>
                                  </w:pPr>
                                  <w:r>
                                    <w:rPr>
                                      <w:rFonts w:ascii="Arial" w:hAnsi="Arial" w:cs="Arial"/>
                                      <w:sz w:val="16"/>
                                    </w:rPr>
                                    <w:t>2.0</w:t>
                                  </w:r>
                                </w:p>
                              </w:tc>
                              <w:tc>
                                <w:tcPr>
                                  <w:tcW w:w="888" w:type="dxa"/>
                                  <w:tcMar>
                                    <w:top w:w="57" w:type="dxa"/>
                                    <w:left w:w="28" w:type="dxa"/>
                                    <w:bottom w:w="57" w:type="dxa"/>
                                    <w:right w:w="28" w:type="dxa"/>
                                  </w:tcMar>
                                  <w:vAlign w:val="center"/>
                                </w:tcPr>
                                <w:p w:rsidR="001712A9" w:rsidRDefault="001712A9">
                                  <w:pPr>
                                    <w:ind w:right="182"/>
                                    <w:jc w:val="right"/>
                                    <w:rPr>
                                      <w:rFonts w:ascii="Arial" w:hAnsi="Arial" w:cs="Arial"/>
                                      <w:sz w:val="16"/>
                                    </w:rPr>
                                  </w:pPr>
                                </w:p>
                              </w:tc>
                              <w:tc>
                                <w:tcPr>
                                  <w:tcW w:w="706" w:type="dxa"/>
                                  <w:tcMar>
                                    <w:top w:w="57" w:type="dxa"/>
                                    <w:left w:w="28" w:type="dxa"/>
                                    <w:bottom w:w="57" w:type="dxa"/>
                                    <w:right w:w="28" w:type="dxa"/>
                                  </w:tcMar>
                                  <w:vAlign w:val="center"/>
                                </w:tcPr>
                                <w:p w:rsidR="001712A9" w:rsidRDefault="001712A9">
                                  <w:pPr>
                                    <w:jc w:val="right"/>
                                    <w:rPr>
                                      <w:rFonts w:ascii="Arial" w:hAnsi="Arial" w:cs="Arial"/>
                                      <w:sz w:val="16"/>
                                    </w:rPr>
                                  </w:pPr>
                                </w:p>
                              </w:tc>
                              <w:tc>
                                <w:tcPr>
                                  <w:tcW w:w="706" w:type="dxa"/>
                                  <w:tcBorders>
                                    <w:right w:val="nil"/>
                                  </w:tcBorders>
                                  <w:tcMar>
                                    <w:top w:w="57" w:type="dxa"/>
                                    <w:left w:w="28" w:type="dxa"/>
                                    <w:bottom w:w="57" w:type="dxa"/>
                                    <w:right w:w="28" w:type="dxa"/>
                                  </w:tcMar>
                                  <w:vAlign w:val="center"/>
                                </w:tcPr>
                                <w:p w:rsidR="001712A9" w:rsidRDefault="001712A9">
                                  <w:pPr>
                                    <w:jc w:val="right"/>
                                    <w:rPr>
                                      <w:rFonts w:ascii="Arial" w:hAnsi="Arial" w:cs="Arial"/>
                                      <w:sz w:val="16"/>
                                    </w:rPr>
                                  </w:pPr>
                                </w:p>
                              </w:tc>
                            </w:tr>
                            <w:tr w:rsidR="001712A9">
                              <w:tc>
                                <w:tcPr>
                                  <w:tcW w:w="1622" w:type="dxa"/>
                                  <w:tcBorders>
                                    <w:left w:val="nil"/>
                                  </w:tcBorders>
                                  <w:tcMar>
                                    <w:top w:w="57" w:type="dxa"/>
                                    <w:left w:w="28" w:type="dxa"/>
                                    <w:bottom w:w="57" w:type="dxa"/>
                                    <w:right w:w="28" w:type="dxa"/>
                                  </w:tcMar>
                                  <w:vAlign w:val="center"/>
                                </w:tcPr>
                                <w:p w:rsidR="001712A9" w:rsidRDefault="001712A9">
                                  <w:pPr>
                                    <w:rPr>
                                      <w:rFonts w:ascii="Arial" w:hAnsi="Arial" w:cs="Arial"/>
                                      <w:sz w:val="16"/>
                                    </w:rPr>
                                  </w:pPr>
                                  <w:r>
                                    <w:rPr>
                                      <w:rFonts w:ascii="Arial" w:hAnsi="Arial" w:cs="Arial"/>
                                      <w:sz w:val="16"/>
                                    </w:rPr>
                                    <w:t>Western red cedar</w:t>
                                  </w:r>
                                </w:p>
                              </w:tc>
                              <w:tc>
                                <w:tcPr>
                                  <w:tcW w:w="760" w:type="dxa"/>
                                  <w:tcMar>
                                    <w:top w:w="57" w:type="dxa"/>
                                    <w:left w:w="28" w:type="dxa"/>
                                    <w:bottom w:w="57" w:type="dxa"/>
                                    <w:right w:w="28" w:type="dxa"/>
                                  </w:tcMar>
                                  <w:vAlign w:val="center"/>
                                </w:tcPr>
                                <w:p w:rsidR="001712A9" w:rsidRDefault="001712A9">
                                  <w:pPr>
                                    <w:tabs>
                                      <w:tab w:val="left" w:pos="542"/>
                                    </w:tabs>
                                    <w:ind w:right="54"/>
                                    <w:jc w:val="right"/>
                                    <w:rPr>
                                      <w:rFonts w:ascii="Arial" w:hAnsi="Arial" w:cs="Arial"/>
                                      <w:sz w:val="16"/>
                                    </w:rPr>
                                  </w:pPr>
                                </w:p>
                              </w:tc>
                              <w:tc>
                                <w:tcPr>
                                  <w:tcW w:w="780" w:type="dxa"/>
                                  <w:tcMar>
                                    <w:top w:w="57" w:type="dxa"/>
                                    <w:left w:w="28" w:type="dxa"/>
                                    <w:bottom w:w="57" w:type="dxa"/>
                                    <w:right w:w="28" w:type="dxa"/>
                                  </w:tcMar>
                                  <w:vAlign w:val="center"/>
                                </w:tcPr>
                                <w:p w:rsidR="001712A9" w:rsidRDefault="001712A9">
                                  <w:pPr>
                                    <w:ind w:right="98"/>
                                    <w:jc w:val="right"/>
                                    <w:rPr>
                                      <w:rFonts w:ascii="Arial" w:hAnsi="Arial" w:cs="Arial"/>
                                      <w:sz w:val="16"/>
                                    </w:rPr>
                                  </w:pPr>
                                </w:p>
                              </w:tc>
                              <w:tc>
                                <w:tcPr>
                                  <w:tcW w:w="706" w:type="dxa"/>
                                  <w:tcMar>
                                    <w:top w:w="57" w:type="dxa"/>
                                    <w:left w:w="28" w:type="dxa"/>
                                    <w:bottom w:w="57" w:type="dxa"/>
                                    <w:right w:w="28" w:type="dxa"/>
                                  </w:tcMar>
                                  <w:vAlign w:val="center"/>
                                </w:tcPr>
                                <w:p w:rsidR="001712A9" w:rsidRDefault="001712A9">
                                  <w:pPr>
                                    <w:jc w:val="right"/>
                                    <w:rPr>
                                      <w:rFonts w:ascii="Arial" w:hAnsi="Arial" w:cs="Arial"/>
                                      <w:sz w:val="16"/>
                                    </w:rPr>
                                  </w:pPr>
                                  <w:r>
                                    <w:rPr>
                                      <w:rFonts w:ascii="Arial" w:hAnsi="Arial" w:cs="Arial"/>
                                      <w:sz w:val="16"/>
                                    </w:rPr>
                                    <w:t>1.4</w:t>
                                  </w:r>
                                </w:p>
                              </w:tc>
                              <w:tc>
                                <w:tcPr>
                                  <w:tcW w:w="888" w:type="dxa"/>
                                  <w:tcMar>
                                    <w:top w:w="57" w:type="dxa"/>
                                    <w:left w:w="28" w:type="dxa"/>
                                    <w:bottom w:w="57" w:type="dxa"/>
                                    <w:right w:w="28" w:type="dxa"/>
                                  </w:tcMar>
                                  <w:vAlign w:val="center"/>
                                </w:tcPr>
                                <w:p w:rsidR="001712A9" w:rsidRDefault="001712A9">
                                  <w:pPr>
                                    <w:ind w:right="182"/>
                                    <w:jc w:val="right"/>
                                    <w:rPr>
                                      <w:rFonts w:ascii="Arial" w:hAnsi="Arial" w:cs="Arial"/>
                                      <w:sz w:val="16"/>
                                    </w:rPr>
                                  </w:pPr>
                                  <w:r>
                                    <w:rPr>
                                      <w:rFonts w:ascii="Arial" w:hAnsi="Arial" w:cs="Arial"/>
                                      <w:sz w:val="16"/>
                                    </w:rPr>
                                    <w:t>4.5</w:t>
                                  </w:r>
                                </w:p>
                              </w:tc>
                              <w:tc>
                                <w:tcPr>
                                  <w:tcW w:w="706" w:type="dxa"/>
                                  <w:tcMar>
                                    <w:top w:w="57" w:type="dxa"/>
                                    <w:left w:w="28" w:type="dxa"/>
                                    <w:bottom w:w="57" w:type="dxa"/>
                                    <w:right w:w="28" w:type="dxa"/>
                                  </w:tcMar>
                                  <w:vAlign w:val="center"/>
                                </w:tcPr>
                                <w:p w:rsidR="001712A9" w:rsidRDefault="001712A9">
                                  <w:pPr>
                                    <w:jc w:val="right"/>
                                    <w:rPr>
                                      <w:rFonts w:ascii="Arial" w:hAnsi="Arial" w:cs="Arial"/>
                                      <w:sz w:val="16"/>
                                    </w:rPr>
                                  </w:pPr>
                                </w:p>
                              </w:tc>
                              <w:tc>
                                <w:tcPr>
                                  <w:tcW w:w="706" w:type="dxa"/>
                                  <w:tcBorders>
                                    <w:right w:val="nil"/>
                                  </w:tcBorders>
                                  <w:tcMar>
                                    <w:top w:w="57" w:type="dxa"/>
                                    <w:left w:w="28" w:type="dxa"/>
                                    <w:bottom w:w="57" w:type="dxa"/>
                                    <w:right w:w="28" w:type="dxa"/>
                                  </w:tcMar>
                                  <w:vAlign w:val="center"/>
                                </w:tcPr>
                                <w:p w:rsidR="001712A9" w:rsidRDefault="001712A9">
                                  <w:pPr>
                                    <w:jc w:val="right"/>
                                    <w:rPr>
                                      <w:rFonts w:ascii="Arial" w:hAnsi="Arial" w:cs="Arial"/>
                                      <w:sz w:val="16"/>
                                    </w:rPr>
                                  </w:pPr>
                                  <w:r>
                                    <w:rPr>
                                      <w:rFonts w:ascii="Arial" w:hAnsi="Arial" w:cs="Arial"/>
                                      <w:sz w:val="16"/>
                                    </w:rPr>
                                    <w:t>2.0</w:t>
                                  </w:r>
                                </w:p>
                              </w:tc>
                            </w:tr>
                            <w:tr w:rsidR="001712A9">
                              <w:tc>
                                <w:tcPr>
                                  <w:tcW w:w="1622" w:type="dxa"/>
                                  <w:tcBorders>
                                    <w:left w:val="nil"/>
                                  </w:tcBorders>
                                  <w:tcMar>
                                    <w:top w:w="57" w:type="dxa"/>
                                    <w:left w:w="28" w:type="dxa"/>
                                    <w:bottom w:w="57" w:type="dxa"/>
                                    <w:right w:w="28" w:type="dxa"/>
                                  </w:tcMar>
                                  <w:vAlign w:val="center"/>
                                </w:tcPr>
                                <w:p w:rsidR="001712A9" w:rsidRDefault="001712A9">
                                  <w:pPr>
                                    <w:rPr>
                                      <w:rFonts w:ascii="Arial" w:hAnsi="Arial" w:cs="Arial"/>
                                      <w:sz w:val="16"/>
                                    </w:rPr>
                                  </w:pPr>
                                  <w:r>
                                    <w:rPr>
                                      <w:rFonts w:ascii="Arial" w:hAnsi="Arial" w:cs="Arial"/>
                                      <w:sz w:val="16"/>
                                    </w:rPr>
                                    <w:t>Ash</w:t>
                                  </w:r>
                                </w:p>
                              </w:tc>
                              <w:tc>
                                <w:tcPr>
                                  <w:tcW w:w="760" w:type="dxa"/>
                                  <w:tcMar>
                                    <w:top w:w="57" w:type="dxa"/>
                                    <w:left w:w="28" w:type="dxa"/>
                                    <w:bottom w:w="57" w:type="dxa"/>
                                    <w:right w:w="28" w:type="dxa"/>
                                  </w:tcMar>
                                  <w:vAlign w:val="center"/>
                                </w:tcPr>
                                <w:p w:rsidR="001712A9" w:rsidRDefault="001712A9">
                                  <w:pPr>
                                    <w:tabs>
                                      <w:tab w:val="left" w:pos="542"/>
                                    </w:tabs>
                                    <w:ind w:right="54"/>
                                    <w:jc w:val="right"/>
                                    <w:rPr>
                                      <w:rFonts w:ascii="Arial" w:hAnsi="Arial" w:cs="Arial"/>
                                      <w:sz w:val="16"/>
                                    </w:rPr>
                                  </w:pPr>
                                  <w:r>
                                    <w:rPr>
                                      <w:rFonts w:ascii="Arial" w:hAnsi="Arial" w:cs="Arial"/>
                                      <w:sz w:val="16"/>
                                    </w:rPr>
                                    <w:t>3.1</w:t>
                                  </w:r>
                                </w:p>
                              </w:tc>
                              <w:tc>
                                <w:tcPr>
                                  <w:tcW w:w="780" w:type="dxa"/>
                                  <w:tcMar>
                                    <w:top w:w="57" w:type="dxa"/>
                                    <w:left w:w="28" w:type="dxa"/>
                                    <w:bottom w:w="57" w:type="dxa"/>
                                    <w:right w:w="28" w:type="dxa"/>
                                  </w:tcMar>
                                  <w:vAlign w:val="center"/>
                                </w:tcPr>
                                <w:p w:rsidR="001712A9" w:rsidRDefault="001712A9">
                                  <w:pPr>
                                    <w:ind w:right="98"/>
                                    <w:jc w:val="right"/>
                                    <w:rPr>
                                      <w:rFonts w:ascii="Arial" w:hAnsi="Arial" w:cs="Arial"/>
                                      <w:sz w:val="16"/>
                                    </w:rPr>
                                  </w:pPr>
                                </w:p>
                              </w:tc>
                              <w:tc>
                                <w:tcPr>
                                  <w:tcW w:w="706" w:type="dxa"/>
                                  <w:tcMar>
                                    <w:top w:w="57" w:type="dxa"/>
                                    <w:left w:w="28" w:type="dxa"/>
                                    <w:bottom w:w="57" w:type="dxa"/>
                                    <w:right w:w="28" w:type="dxa"/>
                                  </w:tcMar>
                                  <w:vAlign w:val="center"/>
                                </w:tcPr>
                                <w:p w:rsidR="001712A9" w:rsidRDefault="001712A9">
                                  <w:pPr>
                                    <w:jc w:val="right"/>
                                    <w:rPr>
                                      <w:rFonts w:ascii="Arial" w:hAnsi="Arial" w:cs="Arial"/>
                                      <w:sz w:val="16"/>
                                    </w:rPr>
                                  </w:pPr>
                                </w:p>
                              </w:tc>
                              <w:tc>
                                <w:tcPr>
                                  <w:tcW w:w="888" w:type="dxa"/>
                                  <w:tcMar>
                                    <w:top w:w="57" w:type="dxa"/>
                                    <w:left w:w="28" w:type="dxa"/>
                                    <w:bottom w:w="57" w:type="dxa"/>
                                    <w:right w:w="28" w:type="dxa"/>
                                  </w:tcMar>
                                  <w:vAlign w:val="center"/>
                                </w:tcPr>
                                <w:p w:rsidR="001712A9" w:rsidRDefault="001712A9">
                                  <w:pPr>
                                    <w:ind w:right="182"/>
                                    <w:jc w:val="right"/>
                                    <w:rPr>
                                      <w:rFonts w:ascii="Arial" w:hAnsi="Arial" w:cs="Arial"/>
                                      <w:sz w:val="16"/>
                                    </w:rPr>
                                  </w:pPr>
                                </w:p>
                              </w:tc>
                              <w:tc>
                                <w:tcPr>
                                  <w:tcW w:w="706" w:type="dxa"/>
                                  <w:tcMar>
                                    <w:top w:w="57" w:type="dxa"/>
                                    <w:left w:w="28" w:type="dxa"/>
                                    <w:bottom w:w="57" w:type="dxa"/>
                                    <w:right w:w="28" w:type="dxa"/>
                                  </w:tcMar>
                                  <w:vAlign w:val="center"/>
                                </w:tcPr>
                                <w:p w:rsidR="001712A9" w:rsidRDefault="001712A9">
                                  <w:pPr>
                                    <w:jc w:val="right"/>
                                    <w:rPr>
                                      <w:rFonts w:ascii="Arial" w:hAnsi="Arial" w:cs="Arial"/>
                                      <w:sz w:val="16"/>
                                    </w:rPr>
                                  </w:pPr>
                                </w:p>
                              </w:tc>
                              <w:tc>
                                <w:tcPr>
                                  <w:tcW w:w="706" w:type="dxa"/>
                                  <w:tcBorders>
                                    <w:right w:val="nil"/>
                                  </w:tcBorders>
                                  <w:tcMar>
                                    <w:top w:w="57" w:type="dxa"/>
                                    <w:left w:w="28" w:type="dxa"/>
                                    <w:bottom w:w="57" w:type="dxa"/>
                                    <w:right w:w="28" w:type="dxa"/>
                                  </w:tcMar>
                                  <w:vAlign w:val="center"/>
                                </w:tcPr>
                                <w:p w:rsidR="001712A9" w:rsidRDefault="001712A9">
                                  <w:pPr>
                                    <w:jc w:val="right"/>
                                    <w:rPr>
                                      <w:rFonts w:ascii="Arial" w:hAnsi="Arial" w:cs="Arial"/>
                                      <w:sz w:val="16"/>
                                    </w:rPr>
                                  </w:pPr>
                                </w:p>
                              </w:tc>
                            </w:tr>
                            <w:tr w:rsidR="001712A9">
                              <w:tc>
                                <w:tcPr>
                                  <w:tcW w:w="1622" w:type="dxa"/>
                                  <w:tcBorders>
                                    <w:left w:val="nil"/>
                                  </w:tcBorders>
                                  <w:tcMar>
                                    <w:top w:w="57" w:type="dxa"/>
                                    <w:left w:w="28" w:type="dxa"/>
                                    <w:bottom w:w="57" w:type="dxa"/>
                                    <w:right w:w="28" w:type="dxa"/>
                                  </w:tcMar>
                                  <w:vAlign w:val="center"/>
                                </w:tcPr>
                                <w:p w:rsidR="001712A9" w:rsidRDefault="001712A9">
                                  <w:pPr>
                                    <w:rPr>
                                      <w:rFonts w:ascii="Arial" w:hAnsi="Arial" w:cs="Arial"/>
                                      <w:sz w:val="16"/>
                                    </w:rPr>
                                  </w:pPr>
                                  <w:r>
                                    <w:rPr>
                                      <w:rFonts w:ascii="Arial" w:hAnsi="Arial" w:cs="Arial"/>
                                      <w:sz w:val="16"/>
                                    </w:rPr>
                                    <w:t>Scots pine</w:t>
                                  </w:r>
                                </w:p>
                              </w:tc>
                              <w:tc>
                                <w:tcPr>
                                  <w:tcW w:w="760" w:type="dxa"/>
                                  <w:tcMar>
                                    <w:top w:w="57" w:type="dxa"/>
                                    <w:left w:w="28" w:type="dxa"/>
                                    <w:bottom w:w="57" w:type="dxa"/>
                                    <w:right w:w="28" w:type="dxa"/>
                                  </w:tcMar>
                                  <w:vAlign w:val="center"/>
                                </w:tcPr>
                                <w:p w:rsidR="001712A9" w:rsidRDefault="001712A9">
                                  <w:pPr>
                                    <w:tabs>
                                      <w:tab w:val="left" w:pos="542"/>
                                    </w:tabs>
                                    <w:ind w:right="54"/>
                                    <w:jc w:val="right"/>
                                    <w:rPr>
                                      <w:rFonts w:ascii="Arial" w:hAnsi="Arial" w:cs="Arial"/>
                                      <w:sz w:val="16"/>
                                    </w:rPr>
                                  </w:pPr>
                                  <w:r>
                                    <w:rPr>
                                      <w:rFonts w:ascii="Arial" w:hAnsi="Arial" w:cs="Arial"/>
                                      <w:sz w:val="16"/>
                                    </w:rPr>
                                    <w:t>2.2</w:t>
                                  </w:r>
                                </w:p>
                              </w:tc>
                              <w:tc>
                                <w:tcPr>
                                  <w:tcW w:w="780" w:type="dxa"/>
                                  <w:tcMar>
                                    <w:top w:w="57" w:type="dxa"/>
                                    <w:left w:w="28" w:type="dxa"/>
                                    <w:bottom w:w="57" w:type="dxa"/>
                                    <w:right w:w="28" w:type="dxa"/>
                                  </w:tcMar>
                                  <w:vAlign w:val="center"/>
                                </w:tcPr>
                                <w:p w:rsidR="001712A9" w:rsidRDefault="001712A9">
                                  <w:pPr>
                                    <w:ind w:right="98"/>
                                    <w:jc w:val="right"/>
                                    <w:rPr>
                                      <w:rFonts w:ascii="Arial" w:hAnsi="Arial" w:cs="Arial"/>
                                      <w:sz w:val="16"/>
                                    </w:rPr>
                                  </w:pPr>
                                </w:p>
                              </w:tc>
                              <w:tc>
                                <w:tcPr>
                                  <w:tcW w:w="706" w:type="dxa"/>
                                  <w:tcMar>
                                    <w:top w:w="57" w:type="dxa"/>
                                    <w:left w:w="28" w:type="dxa"/>
                                    <w:bottom w:w="57" w:type="dxa"/>
                                    <w:right w:w="28" w:type="dxa"/>
                                  </w:tcMar>
                                  <w:vAlign w:val="center"/>
                                </w:tcPr>
                                <w:p w:rsidR="001712A9" w:rsidRDefault="001712A9">
                                  <w:pPr>
                                    <w:jc w:val="right"/>
                                    <w:rPr>
                                      <w:rFonts w:ascii="Arial" w:hAnsi="Arial" w:cs="Arial"/>
                                      <w:sz w:val="16"/>
                                    </w:rPr>
                                  </w:pPr>
                                </w:p>
                              </w:tc>
                              <w:tc>
                                <w:tcPr>
                                  <w:tcW w:w="888" w:type="dxa"/>
                                  <w:tcMar>
                                    <w:top w:w="57" w:type="dxa"/>
                                    <w:left w:w="28" w:type="dxa"/>
                                    <w:bottom w:w="57" w:type="dxa"/>
                                    <w:right w:w="28" w:type="dxa"/>
                                  </w:tcMar>
                                  <w:vAlign w:val="center"/>
                                </w:tcPr>
                                <w:p w:rsidR="001712A9" w:rsidRDefault="001712A9">
                                  <w:pPr>
                                    <w:ind w:right="182"/>
                                    <w:jc w:val="right"/>
                                    <w:rPr>
                                      <w:rFonts w:ascii="Arial" w:hAnsi="Arial" w:cs="Arial"/>
                                      <w:sz w:val="16"/>
                                    </w:rPr>
                                  </w:pPr>
                                </w:p>
                              </w:tc>
                              <w:tc>
                                <w:tcPr>
                                  <w:tcW w:w="706" w:type="dxa"/>
                                  <w:tcMar>
                                    <w:top w:w="57" w:type="dxa"/>
                                    <w:left w:w="28" w:type="dxa"/>
                                    <w:bottom w:w="57" w:type="dxa"/>
                                    <w:right w:w="28" w:type="dxa"/>
                                  </w:tcMar>
                                  <w:vAlign w:val="center"/>
                                </w:tcPr>
                                <w:p w:rsidR="001712A9" w:rsidRDefault="001712A9">
                                  <w:pPr>
                                    <w:jc w:val="right"/>
                                    <w:rPr>
                                      <w:rFonts w:ascii="Arial" w:hAnsi="Arial" w:cs="Arial"/>
                                      <w:sz w:val="16"/>
                                    </w:rPr>
                                  </w:pPr>
                                </w:p>
                              </w:tc>
                              <w:tc>
                                <w:tcPr>
                                  <w:tcW w:w="706" w:type="dxa"/>
                                  <w:tcBorders>
                                    <w:right w:val="nil"/>
                                  </w:tcBorders>
                                  <w:tcMar>
                                    <w:top w:w="57" w:type="dxa"/>
                                    <w:left w:w="28" w:type="dxa"/>
                                    <w:bottom w:w="57" w:type="dxa"/>
                                    <w:right w:w="28" w:type="dxa"/>
                                  </w:tcMar>
                                  <w:vAlign w:val="center"/>
                                </w:tcPr>
                                <w:p w:rsidR="001712A9" w:rsidRDefault="001712A9">
                                  <w:pPr>
                                    <w:jc w:val="right"/>
                                    <w:rPr>
                                      <w:rFonts w:ascii="Arial" w:hAnsi="Arial" w:cs="Arial"/>
                                      <w:sz w:val="16"/>
                                    </w:rPr>
                                  </w:pPr>
                                  <w:r>
                                    <w:rPr>
                                      <w:rFonts w:ascii="Arial" w:hAnsi="Arial" w:cs="Arial"/>
                                      <w:sz w:val="16"/>
                                    </w:rPr>
                                    <w:t>24.1</w:t>
                                  </w:r>
                                </w:p>
                              </w:tc>
                            </w:tr>
                            <w:tr w:rsidR="001712A9">
                              <w:tc>
                                <w:tcPr>
                                  <w:tcW w:w="1622" w:type="dxa"/>
                                  <w:tcBorders>
                                    <w:left w:val="nil"/>
                                  </w:tcBorders>
                                  <w:tcMar>
                                    <w:top w:w="57" w:type="dxa"/>
                                    <w:left w:w="28" w:type="dxa"/>
                                    <w:bottom w:w="57" w:type="dxa"/>
                                    <w:right w:w="28" w:type="dxa"/>
                                  </w:tcMar>
                                  <w:vAlign w:val="center"/>
                                </w:tcPr>
                                <w:p w:rsidR="001712A9" w:rsidRDefault="001712A9">
                                  <w:pPr>
                                    <w:rPr>
                                      <w:rFonts w:ascii="Arial" w:hAnsi="Arial" w:cs="Arial"/>
                                      <w:sz w:val="16"/>
                                    </w:rPr>
                                  </w:pPr>
                                  <w:r>
                                    <w:rPr>
                                      <w:rFonts w:ascii="Arial" w:hAnsi="Arial" w:cs="Arial"/>
                                      <w:sz w:val="16"/>
                                    </w:rPr>
                                    <w:t>European Larch</w:t>
                                  </w:r>
                                </w:p>
                              </w:tc>
                              <w:tc>
                                <w:tcPr>
                                  <w:tcW w:w="760" w:type="dxa"/>
                                  <w:tcMar>
                                    <w:top w:w="57" w:type="dxa"/>
                                    <w:left w:w="28" w:type="dxa"/>
                                    <w:bottom w:w="57" w:type="dxa"/>
                                    <w:right w:w="28" w:type="dxa"/>
                                  </w:tcMar>
                                  <w:vAlign w:val="center"/>
                                </w:tcPr>
                                <w:p w:rsidR="001712A9" w:rsidRDefault="001712A9">
                                  <w:pPr>
                                    <w:tabs>
                                      <w:tab w:val="left" w:pos="542"/>
                                    </w:tabs>
                                    <w:ind w:right="54"/>
                                    <w:jc w:val="right"/>
                                    <w:rPr>
                                      <w:rFonts w:ascii="Arial" w:hAnsi="Arial" w:cs="Arial"/>
                                      <w:sz w:val="16"/>
                                    </w:rPr>
                                  </w:pPr>
                                </w:p>
                              </w:tc>
                              <w:tc>
                                <w:tcPr>
                                  <w:tcW w:w="780" w:type="dxa"/>
                                  <w:tcMar>
                                    <w:top w:w="57" w:type="dxa"/>
                                    <w:left w:w="28" w:type="dxa"/>
                                    <w:bottom w:w="57" w:type="dxa"/>
                                    <w:right w:w="28" w:type="dxa"/>
                                  </w:tcMar>
                                  <w:vAlign w:val="center"/>
                                </w:tcPr>
                                <w:p w:rsidR="001712A9" w:rsidRDefault="001712A9">
                                  <w:pPr>
                                    <w:ind w:right="98"/>
                                    <w:jc w:val="right"/>
                                    <w:rPr>
                                      <w:rFonts w:ascii="Arial" w:hAnsi="Arial" w:cs="Arial"/>
                                      <w:sz w:val="16"/>
                                    </w:rPr>
                                  </w:pPr>
                                </w:p>
                              </w:tc>
                              <w:tc>
                                <w:tcPr>
                                  <w:tcW w:w="706" w:type="dxa"/>
                                  <w:tcMar>
                                    <w:top w:w="57" w:type="dxa"/>
                                    <w:left w:w="28" w:type="dxa"/>
                                    <w:bottom w:w="57" w:type="dxa"/>
                                    <w:right w:w="28" w:type="dxa"/>
                                  </w:tcMar>
                                  <w:vAlign w:val="center"/>
                                </w:tcPr>
                                <w:p w:rsidR="001712A9" w:rsidRDefault="001712A9">
                                  <w:pPr>
                                    <w:jc w:val="right"/>
                                    <w:rPr>
                                      <w:rFonts w:ascii="Arial" w:hAnsi="Arial" w:cs="Arial"/>
                                      <w:sz w:val="16"/>
                                    </w:rPr>
                                  </w:pPr>
                                </w:p>
                              </w:tc>
                              <w:tc>
                                <w:tcPr>
                                  <w:tcW w:w="888" w:type="dxa"/>
                                  <w:tcMar>
                                    <w:top w:w="57" w:type="dxa"/>
                                    <w:left w:w="28" w:type="dxa"/>
                                    <w:bottom w:w="57" w:type="dxa"/>
                                    <w:right w:w="28" w:type="dxa"/>
                                  </w:tcMar>
                                  <w:vAlign w:val="center"/>
                                </w:tcPr>
                                <w:p w:rsidR="001712A9" w:rsidRDefault="001712A9">
                                  <w:pPr>
                                    <w:ind w:right="182"/>
                                    <w:jc w:val="right"/>
                                    <w:rPr>
                                      <w:rFonts w:ascii="Arial" w:hAnsi="Arial" w:cs="Arial"/>
                                      <w:sz w:val="16"/>
                                    </w:rPr>
                                  </w:pPr>
                                </w:p>
                              </w:tc>
                              <w:tc>
                                <w:tcPr>
                                  <w:tcW w:w="706" w:type="dxa"/>
                                  <w:tcMar>
                                    <w:top w:w="57" w:type="dxa"/>
                                    <w:left w:w="28" w:type="dxa"/>
                                    <w:bottom w:w="57" w:type="dxa"/>
                                    <w:right w:w="28" w:type="dxa"/>
                                  </w:tcMar>
                                  <w:vAlign w:val="center"/>
                                </w:tcPr>
                                <w:p w:rsidR="001712A9" w:rsidRDefault="001712A9">
                                  <w:pPr>
                                    <w:jc w:val="right"/>
                                    <w:rPr>
                                      <w:rFonts w:ascii="Arial" w:hAnsi="Arial" w:cs="Arial"/>
                                      <w:sz w:val="16"/>
                                    </w:rPr>
                                  </w:pPr>
                                  <w:r>
                                    <w:rPr>
                                      <w:rFonts w:ascii="Arial" w:hAnsi="Arial" w:cs="Arial"/>
                                      <w:sz w:val="16"/>
                                    </w:rPr>
                                    <w:t>2.0</w:t>
                                  </w:r>
                                </w:p>
                              </w:tc>
                              <w:tc>
                                <w:tcPr>
                                  <w:tcW w:w="706" w:type="dxa"/>
                                  <w:tcBorders>
                                    <w:right w:val="nil"/>
                                  </w:tcBorders>
                                  <w:tcMar>
                                    <w:top w:w="57" w:type="dxa"/>
                                    <w:left w:w="28" w:type="dxa"/>
                                    <w:bottom w:w="57" w:type="dxa"/>
                                    <w:right w:w="28" w:type="dxa"/>
                                  </w:tcMar>
                                  <w:vAlign w:val="center"/>
                                </w:tcPr>
                                <w:p w:rsidR="001712A9" w:rsidRDefault="001712A9">
                                  <w:pPr>
                                    <w:jc w:val="right"/>
                                    <w:rPr>
                                      <w:rFonts w:ascii="Arial" w:hAnsi="Arial" w:cs="Arial"/>
                                      <w:sz w:val="16"/>
                                    </w:rPr>
                                  </w:pPr>
                                </w:p>
                              </w:tc>
                            </w:tr>
                            <w:tr w:rsidR="001712A9">
                              <w:tc>
                                <w:tcPr>
                                  <w:tcW w:w="1622" w:type="dxa"/>
                                  <w:tcBorders>
                                    <w:left w:val="nil"/>
                                  </w:tcBorders>
                                  <w:tcMar>
                                    <w:top w:w="57" w:type="dxa"/>
                                    <w:left w:w="28" w:type="dxa"/>
                                    <w:bottom w:w="57" w:type="dxa"/>
                                    <w:right w:w="28" w:type="dxa"/>
                                  </w:tcMar>
                                  <w:vAlign w:val="center"/>
                                </w:tcPr>
                                <w:p w:rsidR="001712A9" w:rsidRDefault="001712A9">
                                  <w:pPr>
                                    <w:rPr>
                                      <w:rFonts w:ascii="Arial" w:hAnsi="Arial" w:cs="Arial"/>
                                      <w:sz w:val="16"/>
                                    </w:rPr>
                                  </w:pPr>
                                  <w:r>
                                    <w:rPr>
                                      <w:rFonts w:ascii="Arial" w:hAnsi="Arial" w:cs="Arial"/>
                                      <w:sz w:val="16"/>
                                    </w:rPr>
                                    <w:t>Beech</w:t>
                                  </w:r>
                                </w:p>
                              </w:tc>
                              <w:tc>
                                <w:tcPr>
                                  <w:tcW w:w="760" w:type="dxa"/>
                                  <w:tcMar>
                                    <w:top w:w="57" w:type="dxa"/>
                                    <w:left w:w="28" w:type="dxa"/>
                                    <w:bottom w:w="57" w:type="dxa"/>
                                    <w:right w:w="28" w:type="dxa"/>
                                  </w:tcMar>
                                  <w:vAlign w:val="center"/>
                                </w:tcPr>
                                <w:p w:rsidR="001712A9" w:rsidRDefault="001712A9">
                                  <w:pPr>
                                    <w:tabs>
                                      <w:tab w:val="left" w:pos="542"/>
                                    </w:tabs>
                                    <w:ind w:right="54"/>
                                    <w:jc w:val="right"/>
                                    <w:rPr>
                                      <w:rFonts w:ascii="Arial" w:hAnsi="Arial" w:cs="Arial"/>
                                      <w:sz w:val="16"/>
                                    </w:rPr>
                                  </w:pPr>
                                  <w:r>
                                    <w:rPr>
                                      <w:rFonts w:ascii="Arial" w:hAnsi="Arial" w:cs="Arial"/>
                                      <w:sz w:val="16"/>
                                    </w:rPr>
                                    <w:t>1.2</w:t>
                                  </w:r>
                                </w:p>
                              </w:tc>
                              <w:tc>
                                <w:tcPr>
                                  <w:tcW w:w="780" w:type="dxa"/>
                                  <w:tcMar>
                                    <w:top w:w="57" w:type="dxa"/>
                                    <w:left w:w="28" w:type="dxa"/>
                                    <w:bottom w:w="57" w:type="dxa"/>
                                    <w:right w:w="28" w:type="dxa"/>
                                  </w:tcMar>
                                  <w:vAlign w:val="center"/>
                                </w:tcPr>
                                <w:p w:rsidR="001712A9" w:rsidRDefault="001712A9">
                                  <w:pPr>
                                    <w:ind w:right="98"/>
                                    <w:jc w:val="right"/>
                                    <w:rPr>
                                      <w:rFonts w:ascii="Arial" w:hAnsi="Arial" w:cs="Arial"/>
                                      <w:sz w:val="16"/>
                                    </w:rPr>
                                  </w:pPr>
                                </w:p>
                              </w:tc>
                              <w:tc>
                                <w:tcPr>
                                  <w:tcW w:w="706" w:type="dxa"/>
                                  <w:tcMar>
                                    <w:top w:w="57" w:type="dxa"/>
                                    <w:left w:w="28" w:type="dxa"/>
                                    <w:bottom w:w="57" w:type="dxa"/>
                                    <w:right w:w="28" w:type="dxa"/>
                                  </w:tcMar>
                                  <w:vAlign w:val="center"/>
                                </w:tcPr>
                                <w:p w:rsidR="001712A9" w:rsidRDefault="001712A9">
                                  <w:pPr>
                                    <w:jc w:val="right"/>
                                    <w:rPr>
                                      <w:rFonts w:ascii="Arial" w:hAnsi="Arial" w:cs="Arial"/>
                                      <w:sz w:val="16"/>
                                    </w:rPr>
                                  </w:pPr>
                                </w:p>
                              </w:tc>
                              <w:tc>
                                <w:tcPr>
                                  <w:tcW w:w="888" w:type="dxa"/>
                                  <w:tcMar>
                                    <w:top w:w="57" w:type="dxa"/>
                                    <w:left w:w="28" w:type="dxa"/>
                                    <w:bottom w:w="57" w:type="dxa"/>
                                    <w:right w:w="28" w:type="dxa"/>
                                  </w:tcMar>
                                  <w:vAlign w:val="center"/>
                                </w:tcPr>
                                <w:p w:rsidR="001712A9" w:rsidRDefault="001712A9">
                                  <w:pPr>
                                    <w:ind w:right="182"/>
                                    <w:jc w:val="right"/>
                                    <w:rPr>
                                      <w:rFonts w:ascii="Arial" w:hAnsi="Arial" w:cs="Arial"/>
                                      <w:sz w:val="16"/>
                                    </w:rPr>
                                  </w:pPr>
                                  <w:r>
                                    <w:rPr>
                                      <w:rFonts w:ascii="Arial" w:hAnsi="Arial" w:cs="Arial"/>
                                      <w:sz w:val="16"/>
                                    </w:rPr>
                                    <w:t>3.0</w:t>
                                  </w:r>
                                </w:p>
                              </w:tc>
                              <w:tc>
                                <w:tcPr>
                                  <w:tcW w:w="706" w:type="dxa"/>
                                  <w:tcMar>
                                    <w:top w:w="57" w:type="dxa"/>
                                    <w:left w:w="28" w:type="dxa"/>
                                    <w:bottom w:w="57" w:type="dxa"/>
                                    <w:right w:w="28" w:type="dxa"/>
                                  </w:tcMar>
                                  <w:vAlign w:val="center"/>
                                </w:tcPr>
                                <w:p w:rsidR="001712A9" w:rsidRDefault="001712A9">
                                  <w:pPr>
                                    <w:jc w:val="right"/>
                                    <w:rPr>
                                      <w:rFonts w:ascii="Arial" w:hAnsi="Arial" w:cs="Arial"/>
                                      <w:sz w:val="16"/>
                                    </w:rPr>
                                  </w:pPr>
                                </w:p>
                              </w:tc>
                              <w:tc>
                                <w:tcPr>
                                  <w:tcW w:w="706" w:type="dxa"/>
                                  <w:tcBorders>
                                    <w:right w:val="nil"/>
                                  </w:tcBorders>
                                  <w:tcMar>
                                    <w:top w:w="57" w:type="dxa"/>
                                    <w:left w:w="28" w:type="dxa"/>
                                    <w:bottom w:w="57" w:type="dxa"/>
                                    <w:right w:w="28" w:type="dxa"/>
                                  </w:tcMar>
                                  <w:vAlign w:val="center"/>
                                </w:tcPr>
                                <w:p w:rsidR="001712A9" w:rsidRDefault="001712A9">
                                  <w:pPr>
                                    <w:jc w:val="right"/>
                                    <w:rPr>
                                      <w:rFonts w:ascii="Arial" w:hAnsi="Arial" w:cs="Arial"/>
                                      <w:sz w:val="16"/>
                                    </w:rPr>
                                  </w:pPr>
                                  <w:r>
                                    <w:rPr>
                                      <w:rFonts w:ascii="Arial" w:hAnsi="Arial" w:cs="Arial"/>
                                      <w:sz w:val="16"/>
                                    </w:rPr>
                                    <w:t>13.7</w:t>
                                  </w:r>
                                </w:p>
                              </w:tc>
                            </w:tr>
                            <w:tr w:rsidR="001712A9">
                              <w:tc>
                                <w:tcPr>
                                  <w:tcW w:w="1622" w:type="dxa"/>
                                  <w:tcBorders>
                                    <w:left w:val="nil"/>
                                  </w:tcBorders>
                                  <w:tcMar>
                                    <w:top w:w="57" w:type="dxa"/>
                                    <w:left w:w="28" w:type="dxa"/>
                                    <w:bottom w:w="57" w:type="dxa"/>
                                    <w:right w:w="28" w:type="dxa"/>
                                  </w:tcMar>
                                  <w:vAlign w:val="center"/>
                                </w:tcPr>
                                <w:p w:rsidR="001712A9" w:rsidRDefault="001712A9">
                                  <w:pPr>
                                    <w:rPr>
                                      <w:rFonts w:ascii="Arial" w:hAnsi="Arial" w:cs="Arial"/>
                                      <w:sz w:val="16"/>
                                    </w:rPr>
                                  </w:pPr>
                                  <w:proofErr w:type="spellStart"/>
                                  <w:r>
                                    <w:rPr>
                                      <w:rFonts w:ascii="Arial" w:hAnsi="Arial" w:cs="Arial"/>
                                      <w:sz w:val="16"/>
                                    </w:rPr>
                                    <w:t>Lodgepole</w:t>
                                  </w:r>
                                  <w:proofErr w:type="spellEnd"/>
                                  <w:r>
                                    <w:rPr>
                                      <w:rFonts w:ascii="Arial" w:hAnsi="Arial" w:cs="Arial"/>
                                      <w:sz w:val="16"/>
                                    </w:rPr>
                                    <w:t xml:space="preserve"> pine </w:t>
                                  </w:r>
                                </w:p>
                              </w:tc>
                              <w:tc>
                                <w:tcPr>
                                  <w:tcW w:w="760" w:type="dxa"/>
                                  <w:tcMar>
                                    <w:top w:w="57" w:type="dxa"/>
                                    <w:left w:w="28" w:type="dxa"/>
                                    <w:bottom w:w="57" w:type="dxa"/>
                                    <w:right w:w="28" w:type="dxa"/>
                                  </w:tcMar>
                                  <w:vAlign w:val="center"/>
                                </w:tcPr>
                                <w:p w:rsidR="001712A9" w:rsidRDefault="001712A9">
                                  <w:pPr>
                                    <w:tabs>
                                      <w:tab w:val="left" w:pos="542"/>
                                    </w:tabs>
                                    <w:ind w:right="54"/>
                                    <w:jc w:val="right"/>
                                    <w:rPr>
                                      <w:rFonts w:ascii="Arial" w:hAnsi="Arial" w:cs="Arial"/>
                                      <w:sz w:val="16"/>
                                    </w:rPr>
                                  </w:pPr>
                                </w:p>
                              </w:tc>
                              <w:tc>
                                <w:tcPr>
                                  <w:tcW w:w="780" w:type="dxa"/>
                                  <w:tcMar>
                                    <w:top w:w="57" w:type="dxa"/>
                                    <w:left w:w="28" w:type="dxa"/>
                                    <w:bottom w:w="57" w:type="dxa"/>
                                    <w:right w:w="28" w:type="dxa"/>
                                  </w:tcMar>
                                  <w:vAlign w:val="center"/>
                                </w:tcPr>
                                <w:p w:rsidR="001712A9" w:rsidRDefault="001712A9">
                                  <w:pPr>
                                    <w:ind w:right="98"/>
                                    <w:jc w:val="right"/>
                                    <w:rPr>
                                      <w:rFonts w:ascii="Arial" w:hAnsi="Arial" w:cs="Arial"/>
                                      <w:sz w:val="16"/>
                                    </w:rPr>
                                  </w:pPr>
                                </w:p>
                              </w:tc>
                              <w:tc>
                                <w:tcPr>
                                  <w:tcW w:w="706" w:type="dxa"/>
                                  <w:tcMar>
                                    <w:top w:w="57" w:type="dxa"/>
                                    <w:left w:w="28" w:type="dxa"/>
                                    <w:bottom w:w="57" w:type="dxa"/>
                                    <w:right w:w="28" w:type="dxa"/>
                                  </w:tcMar>
                                  <w:vAlign w:val="center"/>
                                </w:tcPr>
                                <w:p w:rsidR="001712A9" w:rsidRDefault="001712A9">
                                  <w:pPr>
                                    <w:jc w:val="right"/>
                                    <w:rPr>
                                      <w:rFonts w:ascii="Arial" w:hAnsi="Arial" w:cs="Arial"/>
                                      <w:sz w:val="16"/>
                                    </w:rPr>
                                  </w:pPr>
                                </w:p>
                              </w:tc>
                              <w:tc>
                                <w:tcPr>
                                  <w:tcW w:w="888" w:type="dxa"/>
                                  <w:tcMar>
                                    <w:top w:w="57" w:type="dxa"/>
                                    <w:left w:w="28" w:type="dxa"/>
                                    <w:bottom w:w="57" w:type="dxa"/>
                                    <w:right w:w="28" w:type="dxa"/>
                                  </w:tcMar>
                                  <w:vAlign w:val="center"/>
                                </w:tcPr>
                                <w:p w:rsidR="001712A9" w:rsidRDefault="001712A9">
                                  <w:pPr>
                                    <w:ind w:right="182"/>
                                    <w:jc w:val="right"/>
                                    <w:rPr>
                                      <w:rFonts w:ascii="Arial" w:hAnsi="Arial" w:cs="Arial"/>
                                      <w:sz w:val="16"/>
                                    </w:rPr>
                                  </w:pPr>
                                  <w:r>
                                    <w:rPr>
                                      <w:rFonts w:ascii="Arial" w:hAnsi="Arial" w:cs="Arial"/>
                                      <w:sz w:val="16"/>
                                    </w:rPr>
                                    <w:t>5.6</w:t>
                                  </w:r>
                                </w:p>
                              </w:tc>
                              <w:tc>
                                <w:tcPr>
                                  <w:tcW w:w="706" w:type="dxa"/>
                                  <w:tcMar>
                                    <w:top w:w="57" w:type="dxa"/>
                                    <w:left w:w="28" w:type="dxa"/>
                                    <w:bottom w:w="57" w:type="dxa"/>
                                    <w:right w:w="28" w:type="dxa"/>
                                  </w:tcMar>
                                  <w:vAlign w:val="center"/>
                                </w:tcPr>
                                <w:p w:rsidR="001712A9" w:rsidRDefault="001712A9">
                                  <w:pPr>
                                    <w:jc w:val="right"/>
                                    <w:rPr>
                                      <w:rFonts w:ascii="Arial" w:hAnsi="Arial" w:cs="Arial"/>
                                      <w:sz w:val="16"/>
                                    </w:rPr>
                                  </w:pPr>
                                  <w:r>
                                    <w:rPr>
                                      <w:rFonts w:ascii="Arial" w:hAnsi="Arial" w:cs="Arial"/>
                                      <w:sz w:val="16"/>
                                    </w:rPr>
                                    <w:t>3.8</w:t>
                                  </w:r>
                                </w:p>
                              </w:tc>
                              <w:tc>
                                <w:tcPr>
                                  <w:tcW w:w="706" w:type="dxa"/>
                                  <w:tcBorders>
                                    <w:right w:val="nil"/>
                                  </w:tcBorders>
                                  <w:tcMar>
                                    <w:top w:w="57" w:type="dxa"/>
                                    <w:left w:w="28" w:type="dxa"/>
                                    <w:bottom w:w="57" w:type="dxa"/>
                                    <w:right w:w="28" w:type="dxa"/>
                                  </w:tcMar>
                                  <w:vAlign w:val="center"/>
                                </w:tcPr>
                                <w:p w:rsidR="001712A9" w:rsidRDefault="001712A9">
                                  <w:pPr>
                                    <w:jc w:val="right"/>
                                    <w:rPr>
                                      <w:rFonts w:ascii="Arial" w:hAnsi="Arial" w:cs="Arial"/>
                                      <w:sz w:val="16"/>
                                    </w:rPr>
                                  </w:pPr>
                                </w:p>
                              </w:tc>
                            </w:tr>
                            <w:tr w:rsidR="001712A9">
                              <w:tc>
                                <w:tcPr>
                                  <w:tcW w:w="1622" w:type="dxa"/>
                                  <w:tcBorders>
                                    <w:left w:val="nil"/>
                                  </w:tcBorders>
                                  <w:tcMar>
                                    <w:top w:w="57" w:type="dxa"/>
                                    <w:left w:w="28" w:type="dxa"/>
                                    <w:bottom w:w="57" w:type="dxa"/>
                                    <w:right w:w="28" w:type="dxa"/>
                                  </w:tcMar>
                                  <w:vAlign w:val="center"/>
                                </w:tcPr>
                                <w:p w:rsidR="001712A9" w:rsidRDefault="001712A9">
                                  <w:pPr>
                                    <w:rPr>
                                      <w:rFonts w:ascii="Arial" w:hAnsi="Arial" w:cs="Arial"/>
                                      <w:sz w:val="16"/>
                                    </w:rPr>
                                  </w:pPr>
                                  <w:r>
                                    <w:rPr>
                                      <w:rFonts w:ascii="Arial" w:hAnsi="Arial" w:cs="Arial"/>
                                      <w:sz w:val="16"/>
                                    </w:rPr>
                                    <w:t>Common Alder</w:t>
                                  </w:r>
                                </w:p>
                              </w:tc>
                              <w:tc>
                                <w:tcPr>
                                  <w:tcW w:w="760" w:type="dxa"/>
                                  <w:tcMar>
                                    <w:top w:w="57" w:type="dxa"/>
                                    <w:left w:w="28" w:type="dxa"/>
                                    <w:bottom w:w="57" w:type="dxa"/>
                                    <w:right w:w="28" w:type="dxa"/>
                                  </w:tcMar>
                                  <w:vAlign w:val="center"/>
                                </w:tcPr>
                                <w:p w:rsidR="001712A9" w:rsidRDefault="001712A9">
                                  <w:pPr>
                                    <w:tabs>
                                      <w:tab w:val="left" w:pos="542"/>
                                    </w:tabs>
                                    <w:ind w:right="54"/>
                                    <w:jc w:val="right"/>
                                    <w:rPr>
                                      <w:rFonts w:ascii="Arial" w:hAnsi="Arial" w:cs="Arial"/>
                                      <w:sz w:val="16"/>
                                    </w:rPr>
                                  </w:pPr>
                                </w:p>
                              </w:tc>
                              <w:tc>
                                <w:tcPr>
                                  <w:tcW w:w="780" w:type="dxa"/>
                                  <w:tcMar>
                                    <w:top w:w="57" w:type="dxa"/>
                                    <w:left w:w="28" w:type="dxa"/>
                                    <w:bottom w:w="57" w:type="dxa"/>
                                    <w:right w:w="28" w:type="dxa"/>
                                  </w:tcMar>
                                  <w:vAlign w:val="center"/>
                                </w:tcPr>
                                <w:p w:rsidR="001712A9" w:rsidRDefault="001712A9">
                                  <w:pPr>
                                    <w:ind w:right="98"/>
                                    <w:jc w:val="right"/>
                                    <w:rPr>
                                      <w:rFonts w:ascii="Arial" w:hAnsi="Arial" w:cs="Arial"/>
                                      <w:sz w:val="16"/>
                                    </w:rPr>
                                  </w:pPr>
                                </w:p>
                              </w:tc>
                              <w:tc>
                                <w:tcPr>
                                  <w:tcW w:w="706" w:type="dxa"/>
                                  <w:tcMar>
                                    <w:top w:w="57" w:type="dxa"/>
                                    <w:left w:w="28" w:type="dxa"/>
                                    <w:bottom w:w="57" w:type="dxa"/>
                                    <w:right w:w="28" w:type="dxa"/>
                                  </w:tcMar>
                                  <w:vAlign w:val="center"/>
                                </w:tcPr>
                                <w:p w:rsidR="001712A9" w:rsidRDefault="001712A9">
                                  <w:pPr>
                                    <w:jc w:val="right"/>
                                    <w:rPr>
                                      <w:rFonts w:ascii="Arial" w:hAnsi="Arial" w:cs="Arial"/>
                                      <w:sz w:val="16"/>
                                    </w:rPr>
                                  </w:pPr>
                                </w:p>
                              </w:tc>
                              <w:tc>
                                <w:tcPr>
                                  <w:tcW w:w="888" w:type="dxa"/>
                                  <w:tcMar>
                                    <w:top w:w="57" w:type="dxa"/>
                                    <w:left w:w="28" w:type="dxa"/>
                                    <w:bottom w:w="57" w:type="dxa"/>
                                    <w:right w:w="28" w:type="dxa"/>
                                  </w:tcMar>
                                  <w:vAlign w:val="center"/>
                                </w:tcPr>
                                <w:p w:rsidR="001712A9" w:rsidRDefault="001712A9">
                                  <w:pPr>
                                    <w:ind w:right="182"/>
                                    <w:jc w:val="right"/>
                                    <w:rPr>
                                      <w:rFonts w:ascii="Arial" w:hAnsi="Arial" w:cs="Arial"/>
                                      <w:sz w:val="16"/>
                                    </w:rPr>
                                  </w:pPr>
                                </w:p>
                              </w:tc>
                              <w:tc>
                                <w:tcPr>
                                  <w:tcW w:w="706" w:type="dxa"/>
                                  <w:tcMar>
                                    <w:top w:w="57" w:type="dxa"/>
                                    <w:left w:w="28" w:type="dxa"/>
                                    <w:bottom w:w="57" w:type="dxa"/>
                                    <w:right w:w="28" w:type="dxa"/>
                                  </w:tcMar>
                                  <w:vAlign w:val="center"/>
                                </w:tcPr>
                                <w:p w:rsidR="001712A9" w:rsidRDefault="001712A9">
                                  <w:pPr>
                                    <w:jc w:val="right"/>
                                    <w:rPr>
                                      <w:rFonts w:ascii="Arial" w:hAnsi="Arial" w:cs="Arial"/>
                                      <w:sz w:val="16"/>
                                    </w:rPr>
                                  </w:pPr>
                                </w:p>
                              </w:tc>
                              <w:tc>
                                <w:tcPr>
                                  <w:tcW w:w="706" w:type="dxa"/>
                                  <w:tcBorders>
                                    <w:right w:val="nil"/>
                                  </w:tcBorders>
                                  <w:tcMar>
                                    <w:top w:w="57" w:type="dxa"/>
                                    <w:left w:w="28" w:type="dxa"/>
                                    <w:bottom w:w="57" w:type="dxa"/>
                                    <w:right w:w="28" w:type="dxa"/>
                                  </w:tcMar>
                                  <w:vAlign w:val="center"/>
                                </w:tcPr>
                                <w:p w:rsidR="001712A9" w:rsidRDefault="001712A9">
                                  <w:pPr>
                                    <w:jc w:val="right"/>
                                    <w:rPr>
                                      <w:rFonts w:ascii="Arial" w:hAnsi="Arial" w:cs="Arial"/>
                                      <w:sz w:val="16"/>
                                    </w:rPr>
                                  </w:pPr>
                                  <w:r>
                                    <w:rPr>
                                      <w:rFonts w:ascii="Arial" w:hAnsi="Arial" w:cs="Arial"/>
                                      <w:sz w:val="16"/>
                                    </w:rPr>
                                    <w:t>6.7</w:t>
                                  </w:r>
                                </w:p>
                              </w:tc>
                            </w:tr>
                            <w:tr w:rsidR="001712A9">
                              <w:tc>
                                <w:tcPr>
                                  <w:tcW w:w="1622" w:type="dxa"/>
                                  <w:tcBorders>
                                    <w:left w:val="nil"/>
                                  </w:tcBorders>
                                  <w:tcMar>
                                    <w:top w:w="57" w:type="dxa"/>
                                    <w:left w:w="28" w:type="dxa"/>
                                    <w:bottom w:w="57" w:type="dxa"/>
                                    <w:right w:w="28" w:type="dxa"/>
                                  </w:tcMar>
                                  <w:vAlign w:val="center"/>
                                </w:tcPr>
                                <w:p w:rsidR="001712A9" w:rsidRDefault="001712A9">
                                  <w:pPr>
                                    <w:rPr>
                                      <w:rFonts w:ascii="Arial" w:hAnsi="Arial" w:cs="Arial"/>
                                      <w:b/>
                                      <w:sz w:val="16"/>
                                    </w:rPr>
                                  </w:pPr>
                                  <w:r>
                                    <w:rPr>
                                      <w:rFonts w:ascii="Arial" w:hAnsi="Arial" w:cs="Arial"/>
                                      <w:b/>
                                      <w:sz w:val="16"/>
                                    </w:rPr>
                                    <w:t>Totals</w:t>
                                  </w:r>
                                </w:p>
                              </w:tc>
                              <w:tc>
                                <w:tcPr>
                                  <w:tcW w:w="760" w:type="dxa"/>
                                  <w:tcMar>
                                    <w:top w:w="57" w:type="dxa"/>
                                    <w:left w:w="28" w:type="dxa"/>
                                    <w:bottom w:w="57" w:type="dxa"/>
                                    <w:right w:w="28" w:type="dxa"/>
                                  </w:tcMar>
                                  <w:vAlign w:val="center"/>
                                </w:tcPr>
                                <w:p w:rsidR="001712A9" w:rsidRDefault="001712A9">
                                  <w:pPr>
                                    <w:tabs>
                                      <w:tab w:val="left" w:pos="542"/>
                                    </w:tabs>
                                    <w:ind w:right="54"/>
                                    <w:jc w:val="right"/>
                                    <w:rPr>
                                      <w:rFonts w:ascii="Arial" w:hAnsi="Arial" w:cs="Arial"/>
                                      <w:sz w:val="16"/>
                                    </w:rPr>
                                  </w:pPr>
                                  <w:r>
                                    <w:rPr>
                                      <w:rFonts w:ascii="Arial" w:hAnsi="Arial" w:cs="Arial"/>
                                      <w:sz w:val="16"/>
                                    </w:rPr>
                                    <w:t>168.0</w:t>
                                  </w:r>
                                </w:p>
                              </w:tc>
                              <w:tc>
                                <w:tcPr>
                                  <w:tcW w:w="780" w:type="dxa"/>
                                  <w:tcMar>
                                    <w:top w:w="57" w:type="dxa"/>
                                    <w:left w:w="28" w:type="dxa"/>
                                    <w:bottom w:w="57" w:type="dxa"/>
                                    <w:right w:w="28" w:type="dxa"/>
                                  </w:tcMar>
                                  <w:vAlign w:val="center"/>
                                </w:tcPr>
                                <w:p w:rsidR="001712A9" w:rsidRDefault="001712A9">
                                  <w:pPr>
                                    <w:ind w:right="98"/>
                                    <w:jc w:val="right"/>
                                    <w:rPr>
                                      <w:rFonts w:ascii="Arial" w:hAnsi="Arial" w:cs="Arial"/>
                                      <w:sz w:val="16"/>
                                    </w:rPr>
                                  </w:pPr>
                                  <w:r>
                                    <w:rPr>
                                      <w:rFonts w:ascii="Arial" w:hAnsi="Arial" w:cs="Arial"/>
                                      <w:sz w:val="16"/>
                                    </w:rPr>
                                    <w:t>397.1</w:t>
                                  </w:r>
                                </w:p>
                              </w:tc>
                              <w:tc>
                                <w:tcPr>
                                  <w:tcW w:w="706" w:type="dxa"/>
                                  <w:tcMar>
                                    <w:top w:w="57" w:type="dxa"/>
                                    <w:left w:w="28" w:type="dxa"/>
                                    <w:bottom w:w="57" w:type="dxa"/>
                                    <w:right w:w="28" w:type="dxa"/>
                                  </w:tcMar>
                                  <w:vAlign w:val="center"/>
                                </w:tcPr>
                                <w:p w:rsidR="001712A9" w:rsidRDefault="001712A9">
                                  <w:pPr>
                                    <w:jc w:val="right"/>
                                    <w:rPr>
                                      <w:rFonts w:ascii="Arial" w:hAnsi="Arial" w:cs="Arial"/>
                                      <w:sz w:val="16"/>
                                    </w:rPr>
                                  </w:pPr>
                                  <w:r>
                                    <w:rPr>
                                      <w:rFonts w:ascii="Arial" w:hAnsi="Arial" w:cs="Arial"/>
                                      <w:sz w:val="16"/>
                                    </w:rPr>
                                    <w:t>505.6</w:t>
                                  </w:r>
                                </w:p>
                              </w:tc>
                              <w:tc>
                                <w:tcPr>
                                  <w:tcW w:w="888" w:type="dxa"/>
                                  <w:tcMar>
                                    <w:top w:w="57" w:type="dxa"/>
                                    <w:left w:w="28" w:type="dxa"/>
                                    <w:bottom w:w="57" w:type="dxa"/>
                                    <w:right w:w="28" w:type="dxa"/>
                                  </w:tcMar>
                                  <w:vAlign w:val="center"/>
                                </w:tcPr>
                                <w:p w:rsidR="001712A9" w:rsidRDefault="001712A9">
                                  <w:pPr>
                                    <w:ind w:right="182"/>
                                    <w:jc w:val="right"/>
                                    <w:rPr>
                                      <w:rFonts w:ascii="Arial" w:hAnsi="Arial" w:cs="Arial"/>
                                      <w:sz w:val="16"/>
                                    </w:rPr>
                                  </w:pPr>
                                  <w:r>
                                    <w:rPr>
                                      <w:rFonts w:ascii="Arial" w:hAnsi="Arial" w:cs="Arial"/>
                                      <w:sz w:val="16"/>
                                    </w:rPr>
                                    <w:t>586.4</w:t>
                                  </w:r>
                                </w:p>
                              </w:tc>
                              <w:tc>
                                <w:tcPr>
                                  <w:tcW w:w="706" w:type="dxa"/>
                                  <w:tcMar>
                                    <w:top w:w="57" w:type="dxa"/>
                                    <w:left w:w="28" w:type="dxa"/>
                                    <w:bottom w:w="57" w:type="dxa"/>
                                    <w:right w:w="28" w:type="dxa"/>
                                  </w:tcMar>
                                  <w:vAlign w:val="center"/>
                                </w:tcPr>
                                <w:p w:rsidR="001712A9" w:rsidRDefault="001712A9">
                                  <w:pPr>
                                    <w:jc w:val="right"/>
                                    <w:rPr>
                                      <w:rFonts w:ascii="Arial" w:hAnsi="Arial" w:cs="Arial"/>
                                      <w:sz w:val="16"/>
                                    </w:rPr>
                                  </w:pPr>
                                  <w:r>
                                    <w:rPr>
                                      <w:rFonts w:ascii="Arial" w:hAnsi="Arial" w:cs="Arial"/>
                                      <w:sz w:val="16"/>
                                    </w:rPr>
                                    <w:t>489.2</w:t>
                                  </w:r>
                                </w:p>
                              </w:tc>
                              <w:tc>
                                <w:tcPr>
                                  <w:tcW w:w="706" w:type="dxa"/>
                                  <w:tcBorders>
                                    <w:right w:val="nil"/>
                                  </w:tcBorders>
                                  <w:tcMar>
                                    <w:top w:w="57" w:type="dxa"/>
                                    <w:left w:w="28" w:type="dxa"/>
                                    <w:bottom w:w="57" w:type="dxa"/>
                                    <w:right w:w="28" w:type="dxa"/>
                                  </w:tcMar>
                                  <w:vAlign w:val="center"/>
                                </w:tcPr>
                                <w:p w:rsidR="001712A9" w:rsidRDefault="001712A9">
                                  <w:pPr>
                                    <w:jc w:val="right"/>
                                    <w:rPr>
                                      <w:rFonts w:ascii="Arial" w:hAnsi="Arial" w:cs="Arial"/>
                                      <w:sz w:val="16"/>
                                    </w:rPr>
                                  </w:pPr>
                                  <w:r>
                                    <w:rPr>
                                      <w:rFonts w:ascii="Arial" w:hAnsi="Arial" w:cs="Arial"/>
                                      <w:sz w:val="16"/>
                                    </w:rPr>
                                    <w:t>856.2</w:t>
                                  </w:r>
                                </w:p>
                              </w:tc>
                            </w:tr>
                          </w:tbl>
                          <w:p w:rsidR="001712A9" w:rsidRDefault="001712A9"/>
                        </w:txbxContent>
                      </wps:txbx>
                      <wps:bodyPr rot="0" vert="horz" wrap="square" lIns="91440" tIns="45720" rIns="91440" bIns="45720" anchor="t" anchorCtr="0" upright="1">
                        <a:noAutofit/>
                      </wps:bodyPr>
                    </wps:wsp>
                  </a:graphicData>
                </a:graphic>
              </wp:inline>
            </w:drawing>
          </mc:Choice>
          <mc:Fallback>
            <w:pict>
              <v:shape id="Text Box 9" o:spid="_x0000_s1027" type="#_x0000_t202" style="width:323.25pt;height: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" filled="f" fillcolor="#cfc" stroked="f">
                <v:fill opacity="32896f"/>
                <v:textbox>
                  <w:txbxContent>
                    <w:p w:rsidR="001712A9" w:rsidRDefault="001712A9">
                      <w:pPr>
                        <w:pStyle w:val="Heading2"/>
                        <w:rPr>
                          <w:b w:val="0"/>
                          <w:bCs w:val="0"/>
                        </w:rPr>
                      </w:pPr>
                      <w:r>
                        <w:t xml:space="preserve">Table 1: </w:t>
                      </w:r>
                      <w:r>
                        <w:rPr>
                          <w:b w:val="0"/>
                          <w:bCs w:val="0"/>
                        </w:rPr>
                        <w:t>Area (ha) of new stands selected in 1997, 1998, 1999, 2000, 2001 and 2002.</w:t>
                      </w:r>
                    </w:p>
                    <w:tbl>
                      <w:tblPr>
                        <w:tblW w:w="6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2"/>
                        <w:gridCol w:w="760"/>
                        <w:gridCol w:w="780"/>
                        <w:gridCol w:w="706"/>
                        <w:gridCol w:w="888"/>
                        <w:gridCol w:w="706"/>
                        <w:gridCol w:w="706"/>
                      </w:tblGrid>
                      <w:tr w:rsidR="001712A9">
                        <w:tc>
                          <w:tcPr>
                            <w:tcW w:w="1622" w:type="dxa"/>
                            <w:tcBorders>
                              <w:left w:val="nil"/>
                            </w:tcBorders>
                            <w:tcMar>
                              <w:top w:w="57" w:type="dxa"/>
                              <w:left w:w="28" w:type="dxa"/>
                              <w:bottom w:w="57" w:type="dxa"/>
                              <w:right w:w="28" w:type="dxa"/>
                            </w:tcMar>
                            <w:vAlign w:val="center"/>
                          </w:tcPr>
                          <w:p w:rsidR="001712A9" w:rsidRDefault="001712A9">
                            <w:pPr>
                              <w:rPr>
                                <w:rFonts w:ascii="Arial" w:hAnsi="Arial" w:cs="Arial"/>
                                <w:b/>
                                <w:bCs/>
                                <w:sz w:val="16"/>
                              </w:rPr>
                            </w:pPr>
                            <w:r>
                              <w:rPr>
                                <w:rFonts w:ascii="Arial" w:hAnsi="Arial" w:cs="Arial"/>
                                <w:b/>
                                <w:bCs/>
                                <w:sz w:val="16"/>
                              </w:rPr>
                              <w:t>Species</w:t>
                            </w:r>
                          </w:p>
                        </w:tc>
                        <w:tc>
                          <w:tcPr>
                            <w:tcW w:w="760" w:type="dxa"/>
                            <w:tcMar>
                              <w:top w:w="57" w:type="dxa"/>
                              <w:left w:w="28" w:type="dxa"/>
                              <w:bottom w:w="57" w:type="dxa"/>
                              <w:right w:w="28" w:type="dxa"/>
                            </w:tcMar>
                            <w:vAlign w:val="center"/>
                          </w:tcPr>
                          <w:p w:rsidR="001712A9" w:rsidRDefault="001712A9">
                            <w:pPr>
                              <w:jc w:val="center"/>
                              <w:rPr>
                                <w:rFonts w:ascii="Arial" w:hAnsi="Arial" w:cs="Arial"/>
                                <w:b/>
                                <w:bCs/>
                                <w:sz w:val="16"/>
                              </w:rPr>
                            </w:pPr>
                            <w:r>
                              <w:rPr>
                                <w:rFonts w:ascii="Arial" w:hAnsi="Arial" w:cs="Arial"/>
                                <w:b/>
                                <w:bCs/>
                                <w:sz w:val="16"/>
                              </w:rPr>
                              <w:t>1997</w:t>
                            </w:r>
                          </w:p>
                        </w:tc>
                        <w:tc>
                          <w:tcPr>
                            <w:tcW w:w="780" w:type="dxa"/>
                            <w:tcMar>
                              <w:top w:w="57" w:type="dxa"/>
                              <w:left w:w="28" w:type="dxa"/>
                              <w:bottom w:w="57" w:type="dxa"/>
                              <w:right w:w="28" w:type="dxa"/>
                            </w:tcMar>
                            <w:vAlign w:val="center"/>
                          </w:tcPr>
                          <w:p w:rsidR="001712A9" w:rsidRDefault="001712A9">
                            <w:pPr>
                              <w:jc w:val="center"/>
                              <w:rPr>
                                <w:rFonts w:ascii="Arial" w:hAnsi="Arial" w:cs="Arial"/>
                                <w:b/>
                                <w:bCs/>
                                <w:sz w:val="16"/>
                              </w:rPr>
                            </w:pPr>
                            <w:r>
                              <w:rPr>
                                <w:rFonts w:ascii="Arial" w:hAnsi="Arial" w:cs="Arial"/>
                                <w:b/>
                                <w:bCs/>
                                <w:sz w:val="16"/>
                              </w:rPr>
                              <w:t>1998</w:t>
                            </w:r>
                          </w:p>
                        </w:tc>
                        <w:tc>
                          <w:tcPr>
                            <w:tcW w:w="706" w:type="dxa"/>
                            <w:tcMar>
                              <w:top w:w="57" w:type="dxa"/>
                              <w:left w:w="28" w:type="dxa"/>
                              <w:bottom w:w="57" w:type="dxa"/>
                              <w:right w:w="28" w:type="dxa"/>
                            </w:tcMar>
                            <w:vAlign w:val="center"/>
                          </w:tcPr>
                          <w:p w:rsidR="001712A9" w:rsidRDefault="001712A9">
                            <w:pPr>
                              <w:jc w:val="center"/>
                              <w:rPr>
                                <w:rFonts w:ascii="Arial" w:hAnsi="Arial" w:cs="Arial"/>
                                <w:b/>
                                <w:bCs/>
                                <w:sz w:val="16"/>
                              </w:rPr>
                            </w:pPr>
                            <w:r>
                              <w:rPr>
                                <w:rFonts w:ascii="Arial" w:hAnsi="Arial" w:cs="Arial"/>
                                <w:b/>
                                <w:bCs/>
                                <w:sz w:val="16"/>
                              </w:rPr>
                              <w:t>1999</w:t>
                            </w:r>
                          </w:p>
                        </w:tc>
                        <w:tc>
                          <w:tcPr>
                            <w:tcW w:w="888" w:type="dxa"/>
                            <w:tcMar>
                              <w:top w:w="57" w:type="dxa"/>
                              <w:left w:w="28" w:type="dxa"/>
                              <w:bottom w:w="57" w:type="dxa"/>
                              <w:right w:w="28" w:type="dxa"/>
                            </w:tcMar>
                            <w:vAlign w:val="center"/>
                          </w:tcPr>
                          <w:p w:rsidR="001712A9" w:rsidRDefault="001712A9">
                            <w:pPr>
                              <w:jc w:val="center"/>
                              <w:rPr>
                                <w:rFonts w:ascii="Arial" w:hAnsi="Arial" w:cs="Arial"/>
                                <w:b/>
                                <w:bCs/>
                                <w:sz w:val="16"/>
                              </w:rPr>
                            </w:pPr>
                            <w:r>
                              <w:rPr>
                                <w:rFonts w:ascii="Arial" w:hAnsi="Arial" w:cs="Arial"/>
                                <w:b/>
                                <w:bCs/>
                                <w:sz w:val="16"/>
                              </w:rPr>
                              <w:t>2000</w:t>
                            </w:r>
                          </w:p>
                        </w:tc>
                        <w:tc>
                          <w:tcPr>
                            <w:tcW w:w="706" w:type="dxa"/>
                            <w:tcMar>
                              <w:top w:w="57" w:type="dxa"/>
                              <w:left w:w="28" w:type="dxa"/>
                              <w:bottom w:w="57" w:type="dxa"/>
                              <w:right w:w="28" w:type="dxa"/>
                            </w:tcMar>
                            <w:vAlign w:val="center"/>
                          </w:tcPr>
                          <w:p w:rsidR="001712A9" w:rsidRDefault="001712A9">
                            <w:pPr>
                              <w:jc w:val="center"/>
                              <w:rPr>
                                <w:rFonts w:ascii="Arial" w:hAnsi="Arial" w:cs="Arial"/>
                                <w:b/>
                                <w:bCs/>
                                <w:sz w:val="16"/>
                              </w:rPr>
                            </w:pPr>
                            <w:r>
                              <w:rPr>
                                <w:rFonts w:ascii="Arial" w:hAnsi="Arial" w:cs="Arial"/>
                                <w:b/>
                                <w:bCs/>
                                <w:sz w:val="16"/>
                              </w:rPr>
                              <w:t>2001</w:t>
                            </w:r>
                          </w:p>
                        </w:tc>
                        <w:tc>
                          <w:tcPr>
                            <w:tcW w:w="706" w:type="dxa"/>
                            <w:tcBorders>
                              <w:right w:val="nil"/>
                            </w:tcBorders>
                            <w:tcMar>
                              <w:top w:w="57" w:type="dxa"/>
                              <w:left w:w="28" w:type="dxa"/>
                              <w:bottom w:w="57" w:type="dxa"/>
                              <w:right w:w="28" w:type="dxa"/>
                            </w:tcMar>
                            <w:vAlign w:val="center"/>
                          </w:tcPr>
                          <w:p w:rsidR="001712A9" w:rsidRDefault="001712A9">
                            <w:pPr>
                              <w:jc w:val="center"/>
                              <w:rPr>
                                <w:rFonts w:ascii="Arial" w:hAnsi="Arial" w:cs="Arial"/>
                                <w:b/>
                                <w:bCs/>
                                <w:sz w:val="16"/>
                              </w:rPr>
                            </w:pPr>
                            <w:r>
                              <w:rPr>
                                <w:rFonts w:ascii="Arial" w:hAnsi="Arial" w:cs="Arial"/>
                                <w:b/>
                                <w:bCs/>
                                <w:sz w:val="16"/>
                              </w:rPr>
                              <w:t>2002</w:t>
                            </w:r>
                          </w:p>
                        </w:tc>
                      </w:tr>
                      <w:tr w:rsidR="001712A9">
                        <w:tc>
                          <w:tcPr>
                            <w:tcW w:w="1622" w:type="dxa"/>
                            <w:tcBorders>
                              <w:left w:val="nil"/>
                            </w:tcBorders>
                            <w:tcMar>
                              <w:top w:w="57" w:type="dxa"/>
                              <w:left w:w="28" w:type="dxa"/>
                              <w:bottom w:w="57" w:type="dxa"/>
                              <w:right w:w="28" w:type="dxa"/>
                            </w:tcMar>
                            <w:vAlign w:val="center"/>
                          </w:tcPr>
                          <w:p w:rsidR="001712A9" w:rsidRDefault="001712A9">
                            <w:pPr>
                              <w:rPr>
                                <w:rFonts w:ascii="Arial" w:hAnsi="Arial" w:cs="Arial"/>
                                <w:sz w:val="16"/>
                              </w:rPr>
                            </w:pPr>
                            <w:r>
                              <w:rPr>
                                <w:rFonts w:ascii="Arial" w:hAnsi="Arial" w:cs="Arial"/>
                                <w:sz w:val="16"/>
                              </w:rPr>
                              <w:t>Sitka spruce</w:t>
                            </w:r>
                          </w:p>
                        </w:tc>
                        <w:tc>
                          <w:tcPr>
                            <w:tcW w:w="760" w:type="dxa"/>
                            <w:tcMar>
                              <w:top w:w="57" w:type="dxa"/>
                              <w:left w:w="28" w:type="dxa"/>
                              <w:bottom w:w="57" w:type="dxa"/>
                              <w:right w:w="28" w:type="dxa"/>
                            </w:tcMar>
                            <w:vAlign w:val="center"/>
                          </w:tcPr>
                          <w:p w:rsidR="001712A9" w:rsidRDefault="001712A9">
                            <w:pPr>
                              <w:tabs>
                                <w:tab w:val="left" w:pos="542"/>
                              </w:tabs>
                              <w:ind w:right="54"/>
                              <w:jc w:val="right"/>
                              <w:rPr>
                                <w:rFonts w:ascii="Arial" w:hAnsi="Arial" w:cs="Arial"/>
                                <w:sz w:val="16"/>
                              </w:rPr>
                            </w:pPr>
                            <w:r>
                              <w:rPr>
                                <w:rFonts w:ascii="Arial" w:hAnsi="Arial" w:cs="Arial"/>
                                <w:sz w:val="16"/>
                              </w:rPr>
                              <w:t>107.2</w:t>
                            </w:r>
                          </w:p>
                        </w:tc>
                        <w:tc>
                          <w:tcPr>
                            <w:tcW w:w="780" w:type="dxa"/>
                            <w:tcMar>
                              <w:top w:w="57" w:type="dxa"/>
                              <w:left w:w="28" w:type="dxa"/>
                              <w:bottom w:w="57" w:type="dxa"/>
                              <w:right w:w="28" w:type="dxa"/>
                            </w:tcMar>
                            <w:vAlign w:val="center"/>
                          </w:tcPr>
                          <w:p w:rsidR="001712A9" w:rsidRDefault="001712A9">
                            <w:pPr>
                              <w:ind w:right="98"/>
                              <w:jc w:val="right"/>
                              <w:rPr>
                                <w:rFonts w:ascii="Arial" w:hAnsi="Arial" w:cs="Arial"/>
                                <w:sz w:val="16"/>
                              </w:rPr>
                            </w:pPr>
                            <w:r>
                              <w:rPr>
                                <w:rFonts w:ascii="Arial" w:hAnsi="Arial" w:cs="Arial"/>
                                <w:sz w:val="16"/>
                              </w:rPr>
                              <w:t>189.4</w:t>
                            </w:r>
                          </w:p>
                        </w:tc>
                        <w:tc>
                          <w:tcPr>
                            <w:tcW w:w="706" w:type="dxa"/>
                            <w:tcMar>
                              <w:top w:w="57" w:type="dxa"/>
                              <w:left w:w="28" w:type="dxa"/>
                              <w:bottom w:w="57" w:type="dxa"/>
                              <w:right w:w="28" w:type="dxa"/>
                            </w:tcMar>
                            <w:vAlign w:val="center"/>
                          </w:tcPr>
                          <w:p w:rsidR="001712A9" w:rsidRDefault="001712A9">
                            <w:pPr>
                              <w:jc w:val="right"/>
                              <w:rPr>
                                <w:rFonts w:ascii="Arial" w:hAnsi="Arial" w:cs="Arial"/>
                                <w:sz w:val="16"/>
                              </w:rPr>
                            </w:pPr>
                            <w:r>
                              <w:rPr>
                                <w:rFonts w:ascii="Arial" w:hAnsi="Arial" w:cs="Arial"/>
                                <w:sz w:val="16"/>
                              </w:rPr>
                              <w:t>217.0</w:t>
                            </w:r>
                          </w:p>
                        </w:tc>
                        <w:tc>
                          <w:tcPr>
                            <w:tcW w:w="888" w:type="dxa"/>
                            <w:tcMar>
                              <w:top w:w="57" w:type="dxa"/>
                              <w:left w:w="28" w:type="dxa"/>
                              <w:bottom w:w="57" w:type="dxa"/>
                              <w:right w:w="28" w:type="dxa"/>
                            </w:tcMar>
                            <w:vAlign w:val="center"/>
                          </w:tcPr>
                          <w:p w:rsidR="001712A9" w:rsidRDefault="001712A9">
                            <w:pPr>
                              <w:ind w:right="182"/>
                              <w:jc w:val="right"/>
                              <w:rPr>
                                <w:rFonts w:ascii="Arial" w:hAnsi="Arial" w:cs="Arial"/>
                                <w:sz w:val="16"/>
                              </w:rPr>
                            </w:pPr>
                            <w:r>
                              <w:rPr>
                                <w:rFonts w:ascii="Arial" w:hAnsi="Arial" w:cs="Arial"/>
                                <w:sz w:val="16"/>
                              </w:rPr>
                              <w:t>273.4</w:t>
                            </w:r>
                          </w:p>
                        </w:tc>
                        <w:tc>
                          <w:tcPr>
                            <w:tcW w:w="706" w:type="dxa"/>
                            <w:tcMar>
                              <w:top w:w="57" w:type="dxa"/>
                              <w:left w:w="28" w:type="dxa"/>
                              <w:bottom w:w="57" w:type="dxa"/>
                              <w:right w:w="28" w:type="dxa"/>
                            </w:tcMar>
                            <w:vAlign w:val="center"/>
                          </w:tcPr>
                          <w:p w:rsidR="001712A9" w:rsidRDefault="001712A9">
                            <w:pPr>
                              <w:jc w:val="right"/>
                              <w:rPr>
                                <w:rFonts w:ascii="Arial" w:hAnsi="Arial" w:cs="Arial"/>
                                <w:sz w:val="16"/>
                              </w:rPr>
                            </w:pPr>
                            <w:r>
                              <w:rPr>
                                <w:rFonts w:ascii="Arial" w:hAnsi="Arial" w:cs="Arial"/>
                                <w:sz w:val="16"/>
                              </w:rPr>
                              <w:t>237.2</w:t>
                            </w:r>
                          </w:p>
                        </w:tc>
                        <w:tc>
                          <w:tcPr>
                            <w:tcW w:w="706" w:type="dxa"/>
                            <w:tcBorders>
                              <w:right w:val="nil"/>
                            </w:tcBorders>
                            <w:tcMar>
                              <w:top w:w="57" w:type="dxa"/>
                              <w:left w:w="28" w:type="dxa"/>
                              <w:bottom w:w="57" w:type="dxa"/>
                              <w:right w:w="28" w:type="dxa"/>
                            </w:tcMar>
                            <w:vAlign w:val="center"/>
                          </w:tcPr>
                          <w:p w:rsidR="001712A9" w:rsidRDefault="001712A9">
                            <w:pPr>
                              <w:jc w:val="right"/>
                              <w:rPr>
                                <w:rFonts w:ascii="Arial" w:hAnsi="Arial" w:cs="Arial"/>
                                <w:sz w:val="16"/>
                              </w:rPr>
                            </w:pPr>
                            <w:r>
                              <w:rPr>
                                <w:rFonts w:ascii="Arial" w:hAnsi="Arial" w:cs="Arial"/>
                                <w:sz w:val="16"/>
                              </w:rPr>
                              <w:t>8.6</w:t>
                            </w:r>
                          </w:p>
                        </w:tc>
                      </w:tr>
                      <w:tr w:rsidR="001712A9">
                        <w:tc>
                          <w:tcPr>
                            <w:tcW w:w="1622" w:type="dxa"/>
                            <w:tcBorders>
                              <w:left w:val="nil"/>
                            </w:tcBorders>
                            <w:tcMar>
                              <w:top w:w="57" w:type="dxa"/>
                              <w:left w:w="28" w:type="dxa"/>
                              <w:bottom w:w="57" w:type="dxa"/>
                              <w:right w:w="28" w:type="dxa"/>
                            </w:tcMar>
                            <w:vAlign w:val="center"/>
                          </w:tcPr>
                          <w:p w:rsidR="001712A9" w:rsidRDefault="001712A9">
                            <w:pPr>
                              <w:rPr>
                                <w:rFonts w:ascii="Arial" w:hAnsi="Arial" w:cs="Arial"/>
                                <w:sz w:val="16"/>
                              </w:rPr>
                            </w:pPr>
                            <w:r>
                              <w:rPr>
                                <w:rFonts w:ascii="Arial" w:hAnsi="Arial" w:cs="Arial"/>
                                <w:sz w:val="16"/>
                              </w:rPr>
                              <w:t>Norway spruce</w:t>
                            </w:r>
                          </w:p>
                        </w:tc>
                        <w:tc>
                          <w:tcPr>
                            <w:tcW w:w="760" w:type="dxa"/>
                            <w:tcMar>
                              <w:top w:w="57" w:type="dxa"/>
                              <w:left w:w="28" w:type="dxa"/>
                              <w:bottom w:w="57" w:type="dxa"/>
                              <w:right w:w="28" w:type="dxa"/>
                            </w:tcMar>
                            <w:vAlign w:val="center"/>
                          </w:tcPr>
                          <w:p w:rsidR="001712A9" w:rsidRDefault="001712A9">
                            <w:pPr>
                              <w:tabs>
                                <w:tab w:val="left" w:pos="542"/>
                              </w:tabs>
                              <w:ind w:right="54"/>
                              <w:jc w:val="right"/>
                              <w:rPr>
                                <w:rFonts w:ascii="Arial" w:hAnsi="Arial" w:cs="Arial"/>
                                <w:sz w:val="16"/>
                              </w:rPr>
                            </w:pPr>
                            <w:r>
                              <w:rPr>
                                <w:rFonts w:ascii="Arial" w:hAnsi="Arial" w:cs="Arial"/>
                                <w:sz w:val="16"/>
                              </w:rPr>
                              <w:t>49.8</w:t>
                            </w:r>
                          </w:p>
                        </w:tc>
                        <w:tc>
                          <w:tcPr>
                            <w:tcW w:w="780" w:type="dxa"/>
                            <w:tcMar>
                              <w:top w:w="57" w:type="dxa"/>
                              <w:left w:w="28" w:type="dxa"/>
                              <w:bottom w:w="57" w:type="dxa"/>
                              <w:right w:w="28" w:type="dxa"/>
                            </w:tcMar>
                            <w:vAlign w:val="center"/>
                          </w:tcPr>
                          <w:p w:rsidR="001712A9" w:rsidRDefault="001712A9">
                            <w:pPr>
                              <w:ind w:right="98"/>
                              <w:jc w:val="right"/>
                              <w:rPr>
                                <w:rFonts w:ascii="Arial" w:hAnsi="Arial" w:cs="Arial"/>
                                <w:sz w:val="16"/>
                              </w:rPr>
                            </w:pPr>
                            <w:r>
                              <w:rPr>
                                <w:rFonts w:ascii="Arial" w:hAnsi="Arial" w:cs="Arial"/>
                                <w:sz w:val="16"/>
                              </w:rPr>
                              <w:t>137.7</w:t>
                            </w:r>
                          </w:p>
                        </w:tc>
                        <w:tc>
                          <w:tcPr>
                            <w:tcW w:w="706" w:type="dxa"/>
                            <w:tcMar>
                              <w:top w:w="57" w:type="dxa"/>
                              <w:left w:w="28" w:type="dxa"/>
                              <w:bottom w:w="57" w:type="dxa"/>
                              <w:right w:w="28" w:type="dxa"/>
                            </w:tcMar>
                            <w:vAlign w:val="center"/>
                          </w:tcPr>
                          <w:p w:rsidR="001712A9" w:rsidRDefault="001712A9">
                            <w:pPr>
                              <w:jc w:val="right"/>
                              <w:rPr>
                                <w:rFonts w:ascii="Arial" w:hAnsi="Arial" w:cs="Arial"/>
                                <w:sz w:val="16"/>
                              </w:rPr>
                            </w:pPr>
                            <w:r>
                              <w:rPr>
                                <w:rFonts w:ascii="Arial" w:hAnsi="Arial" w:cs="Arial"/>
                                <w:sz w:val="16"/>
                              </w:rPr>
                              <w:t>218.0</w:t>
                            </w:r>
                          </w:p>
                        </w:tc>
                        <w:tc>
                          <w:tcPr>
                            <w:tcW w:w="888" w:type="dxa"/>
                            <w:tcMar>
                              <w:top w:w="57" w:type="dxa"/>
                              <w:left w:w="28" w:type="dxa"/>
                              <w:bottom w:w="57" w:type="dxa"/>
                              <w:right w:w="28" w:type="dxa"/>
                            </w:tcMar>
                            <w:vAlign w:val="center"/>
                          </w:tcPr>
                          <w:p w:rsidR="001712A9" w:rsidRDefault="001712A9">
                            <w:pPr>
                              <w:ind w:right="182"/>
                              <w:jc w:val="right"/>
                              <w:rPr>
                                <w:rFonts w:ascii="Arial" w:hAnsi="Arial" w:cs="Arial"/>
                                <w:sz w:val="16"/>
                              </w:rPr>
                            </w:pPr>
                            <w:r>
                              <w:rPr>
                                <w:rFonts w:ascii="Arial" w:hAnsi="Arial" w:cs="Arial"/>
                                <w:sz w:val="16"/>
                              </w:rPr>
                              <w:t>252.3</w:t>
                            </w:r>
                          </w:p>
                        </w:tc>
                        <w:tc>
                          <w:tcPr>
                            <w:tcW w:w="706" w:type="dxa"/>
                            <w:tcMar>
                              <w:top w:w="57" w:type="dxa"/>
                              <w:left w:w="28" w:type="dxa"/>
                              <w:bottom w:w="57" w:type="dxa"/>
                              <w:right w:w="28" w:type="dxa"/>
                            </w:tcMar>
                            <w:vAlign w:val="center"/>
                          </w:tcPr>
                          <w:p w:rsidR="001712A9" w:rsidRDefault="001712A9">
                            <w:pPr>
                              <w:jc w:val="right"/>
                              <w:rPr>
                                <w:rFonts w:ascii="Arial" w:hAnsi="Arial" w:cs="Arial"/>
                                <w:sz w:val="16"/>
                              </w:rPr>
                            </w:pPr>
                            <w:r>
                              <w:rPr>
                                <w:rFonts w:ascii="Arial" w:hAnsi="Arial" w:cs="Arial"/>
                                <w:sz w:val="16"/>
                              </w:rPr>
                              <w:t>136.6</w:t>
                            </w:r>
                          </w:p>
                        </w:tc>
                        <w:tc>
                          <w:tcPr>
                            <w:tcW w:w="706" w:type="dxa"/>
                            <w:tcBorders>
                              <w:right w:val="nil"/>
                            </w:tcBorders>
                            <w:tcMar>
                              <w:top w:w="57" w:type="dxa"/>
                              <w:left w:w="28" w:type="dxa"/>
                              <w:bottom w:w="57" w:type="dxa"/>
                              <w:right w:w="28" w:type="dxa"/>
                            </w:tcMar>
                            <w:vAlign w:val="center"/>
                          </w:tcPr>
                          <w:p w:rsidR="001712A9" w:rsidRDefault="001712A9">
                            <w:pPr>
                              <w:jc w:val="right"/>
                              <w:rPr>
                                <w:rFonts w:ascii="Arial" w:hAnsi="Arial" w:cs="Arial"/>
                                <w:sz w:val="16"/>
                              </w:rPr>
                            </w:pPr>
                            <w:r>
                              <w:rPr>
                                <w:rFonts w:ascii="Arial" w:hAnsi="Arial" w:cs="Arial"/>
                                <w:sz w:val="16"/>
                              </w:rPr>
                              <w:t>19.1</w:t>
                            </w:r>
                          </w:p>
                        </w:tc>
                      </w:tr>
                      <w:tr w:rsidR="001712A9">
                        <w:tc>
                          <w:tcPr>
                            <w:tcW w:w="1622" w:type="dxa"/>
                            <w:tcBorders>
                              <w:left w:val="nil"/>
                            </w:tcBorders>
                            <w:tcMar>
                              <w:top w:w="57" w:type="dxa"/>
                              <w:left w:w="28" w:type="dxa"/>
                              <w:bottom w:w="57" w:type="dxa"/>
                              <w:right w:w="28" w:type="dxa"/>
                            </w:tcMar>
                            <w:vAlign w:val="center"/>
                          </w:tcPr>
                          <w:p w:rsidR="001712A9" w:rsidRDefault="001712A9">
                            <w:pPr>
                              <w:rPr>
                                <w:rFonts w:ascii="Arial" w:hAnsi="Arial" w:cs="Arial"/>
                                <w:sz w:val="16"/>
                              </w:rPr>
                            </w:pPr>
                            <w:proofErr w:type="spellStart"/>
                            <w:r>
                              <w:rPr>
                                <w:rFonts w:ascii="Arial" w:hAnsi="Arial" w:cs="Arial"/>
                                <w:sz w:val="16"/>
                              </w:rPr>
                              <w:t>Pedunculate</w:t>
                            </w:r>
                            <w:proofErr w:type="spellEnd"/>
                            <w:r>
                              <w:rPr>
                                <w:rFonts w:ascii="Arial" w:hAnsi="Arial" w:cs="Arial"/>
                                <w:sz w:val="16"/>
                              </w:rPr>
                              <w:t xml:space="preserve"> oak</w:t>
                            </w:r>
                          </w:p>
                        </w:tc>
                        <w:tc>
                          <w:tcPr>
                            <w:tcW w:w="760" w:type="dxa"/>
                            <w:tcMar>
                              <w:top w:w="57" w:type="dxa"/>
                              <w:left w:w="28" w:type="dxa"/>
                              <w:bottom w:w="57" w:type="dxa"/>
                              <w:right w:w="28" w:type="dxa"/>
                            </w:tcMar>
                            <w:vAlign w:val="center"/>
                          </w:tcPr>
                          <w:p w:rsidR="001712A9" w:rsidRDefault="001712A9">
                            <w:pPr>
                              <w:tabs>
                                <w:tab w:val="left" w:pos="542"/>
                              </w:tabs>
                              <w:ind w:right="54"/>
                              <w:jc w:val="right"/>
                              <w:rPr>
                                <w:rFonts w:ascii="Arial" w:hAnsi="Arial" w:cs="Arial"/>
                                <w:sz w:val="16"/>
                              </w:rPr>
                            </w:pPr>
                          </w:p>
                        </w:tc>
                        <w:tc>
                          <w:tcPr>
                            <w:tcW w:w="780" w:type="dxa"/>
                            <w:tcMar>
                              <w:top w:w="57" w:type="dxa"/>
                              <w:left w:w="28" w:type="dxa"/>
                              <w:bottom w:w="57" w:type="dxa"/>
                              <w:right w:w="28" w:type="dxa"/>
                            </w:tcMar>
                            <w:vAlign w:val="center"/>
                          </w:tcPr>
                          <w:p w:rsidR="001712A9" w:rsidRDefault="001712A9">
                            <w:pPr>
                              <w:ind w:right="98"/>
                              <w:jc w:val="right"/>
                              <w:rPr>
                                <w:rFonts w:ascii="Arial" w:hAnsi="Arial" w:cs="Arial"/>
                                <w:sz w:val="16"/>
                              </w:rPr>
                            </w:pPr>
                            <w:r>
                              <w:rPr>
                                <w:rFonts w:ascii="Arial" w:hAnsi="Arial" w:cs="Arial"/>
                                <w:sz w:val="16"/>
                              </w:rPr>
                              <w:t>31.3</w:t>
                            </w:r>
                          </w:p>
                        </w:tc>
                        <w:tc>
                          <w:tcPr>
                            <w:tcW w:w="706" w:type="dxa"/>
                            <w:tcMar>
                              <w:top w:w="57" w:type="dxa"/>
                              <w:left w:w="28" w:type="dxa"/>
                              <w:bottom w:w="57" w:type="dxa"/>
                              <w:right w:w="28" w:type="dxa"/>
                            </w:tcMar>
                            <w:vAlign w:val="center"/>
                          </w:tcPr>
                          <w:p w:rsidR="001712A9" w:rsidRDefault="001712A9">
                            <w:pPr>
                              <w:jc w:val="right"/>
                              <w:rPr>
                                <w:rFonts w:ascii="Arial" w:hAnsi="Arial" w:cs="Arial"/>
                                <w:sz w:val="16"/>
                              </w:rPr>
                            </w:pPr>
                            <w:r>
                              <w:rPr>
                                <w:rFonts w:ascii="Arial" w:hAnsi="Arial" w:cs="Arial"/>
                                <w:sz w:val="16"/>
                              </w:rPr>
                              <w:t>13.0</w:t>
                            </w:r>
                          </w:p>
                        </w:tc>
                        <w:tc>
                          <w:tcPr>
                            <w:tcW w:w="888" w:type="dxa"/>
                            <w:tcMar>
                              <w:top w:w="57" w:type="dxa"/>
                              <w:left w:w="28" w:type="dxa"/>
                              <w:bottom w:w="57" w:type="dxa"/>
                              <w:right w:w="28" w:type="dxa"/>
                            </w:tcMar>
                            <w:vAlign w:val="center"/>
                          </w:tcPr>
                          <w:p w:rsidR="001712A9" w:rsidRDefault="001712A9">
                            <w:pPr>
                              <w:ind w:right="182"/>
                              <w:jc w:val="right"/>
                              <w:rPr>
                                <w:rFonts w:ascii="Arial" w:hAnsi="Arial" w:cs="Arial"/>
                                <w:sz w:val="16"/>
                              </w:rPr>
                            </w:pPr>
                            <w:r>
                              <w:rPr>
                                <w:rFonts w:ascii="Arial" w:hAnsi="Arial" w:cs="Arial"/>
                                <w:sz w:val="16"/>
                              </w:rPr>
                              <w:t>4.4</w:t>
                            </w:r>
                          </w:p>
                        </w:tc>
                        <w:tc>
                          <w:tcPr>
                            <w:tcW w:w="706" w:type="dxa"/>
                            <w:tcMar>
                              <w:top w:w="57" w:type="dxa"/>
                              <w:left w:w="28" w:type="dxa"/>
                              <w:bottom w:w="57" w:type="dxa"/>
                              <w:right w:w="28" w:type="dxa"/>
                            </w:tcMar>
                            <w:vAlign w:val="center"/>
                          </w:tcPr>
                          <w:p w:rsidR="001712A9" w:rsidRDefault="001712A9">
                            <w:pPr>
                              <w:jc w:val="right"/>
                              <w:rPr>
                                <w:rFonts w:ascii="Arial" w:hAnsi="Arial" w:cs="Arial"/>
                                <w:sz w:val="16"/>
                              </w:rPr>
                            </w:pPr>
                            <w:r>
                              <w:rPr>
                                <w:rFonts w:ascii="Arial" w:hAnsi="Arial" w:cs="Arial"/>
                                <w:sz w:val="16"/>
                              </w:rPr>
                              <w:t>10.7</w:t>
                            </w:r>
                          </w:p>
                        </w:tc>
                        <w:tc>
                          <w:tcPr>
                            <w:tcW w:w="706" w:type="dxa"/>
                            <w:tcBorders>
                              <w:right w:val="nil"/>
                            </w:tcBorders>
                            <w:tcMar>
                              <w:top w:w="57" w:type="dxa"/>
                              <w:left w:w="28" w:type="dxa"/>
                              <w:bottom w:w="57" w:type="dxa"/>
                              <w:right w:w="28" w:type="dxa"/>
                            </w:tcMar>
                            <w:vAlign w:val="center"/>
                          </w:tcPr>
                          <w:p w:rsidR="001712A9" w:rsidRDefault="001712A9">
                            <w:pPr>
                              <w:jc w:val="right"/>
                              <w:rPr>
                                <w:rFonts w:ascii="Arial" w:hAnsi="Arial" w:cs="Arial"/>
                                <w:sz w:val="16"/>
                              </w:rPr>
                            </w:pPr>
                            <w:r>
                              <w:rPr>
                                <w:rFonts w:ascii="Arial" w:hAnsi="Arial" w:cs="Arial"/>
                                <w:sz w:val="16"/>
                              </w:rPr>
                              <w:t>186.2</w:t>
                            </w:r>
                          </w:p>
                        </w:tc>
                      </w:tr>
                      <w:tr w:rsidR="001712A9">
                        <w:tc>
                          <w:tcPr>
                            <w:tcW w:w="1622" w:type="dxa"/>
                            <w:tcBorders>
                              <w:left w:val="nil"/>
                            </w:tcBorders>
                            <w:tcMar>
                              <w:top w:w="57" w:type="dxa"/>
                              <w:left w:w="28" w:type="dxa"/>
                              <w:bottom w:w="57" w:type="dxa"/>
                              <w:right w:w="28" w:type="dxa"/>
                            </w:tcMar>
                            <w:vAlign w:val="center"/>
                          </w:tcPr>
                          <w:p w:rsidR="001712A9" w:rsidRDefault="001712A9">
                            <w:pPr>
                              <w:rPr>
                                <w:rFonts w:ascii="Arial" w:hAnsi="Arial" w:cs="Arial"/>
                                <w:sz w:val="16"/>
                              </w:rPr>
                            </w:pPr>
                            <w:r>
                              <w:rPr>
                                <w:rFonts w:ascii="Arial" w:hAnsi="Arial" w:cs="Arial"/>
                                <w:sz w:val="16"/>
                              </w:rPr>
                              <w:t>Sessile oak</w:t>
                            </w:r>
                          </w:p>
                        </w:tc>
                        <w:tc>
                          <w:tcPr>
                            <w:tcW w:w="760" w:type="dxa"/>
                            <w:tcMar>
                              <w:top w:w="57" w:type="dxa"/>
                              <w:left w:w="28" w:type="dxa"/>
                              <w:bottom w:w="57" w:type="dxa"/>
                              <w:right w:w="28" w:type="dxa"/>
                            </w:tcMar>
                            <w:vAlign w:val="center"/>
                          </w:tcPr>
                          <w:p w:rsidR="001712A9" w:rsidRDefault="001712A9">
                            <w:pPr>
                              <w:tabs>
                                <w:tab w:val="left" w:pos="542"/>
                              </w:tabs>
                              <w:ind w:right="54"/>
                              <w:jc w:val="right"/>
                              <w:rPr>
                                <w:rFonts w:ascii="Arial" w:hAnsi="Arial" w:cs="Arial"/>
                                <w:sz w:val="16"/>
                              </w:rPr>
                            </w:pPr>
                            <w:r>
                              <w:rPr>
                                <w:rFonts w:ascii="Arial" w:hAnsi="Arial" w:cs="Arial"/>
                                <w:sz w:val="16"/>
                              </w:rPr>
                              <w:t>4.5</w:t>
                            </w:r>
                          </w:p>
                        </w:tc>
                        <w:tc>
                          <w:tcPr>
                            <w:tcW w:w="780" w:type="dxa"/>
                            <w:tcMar>
                              <w:top w:w="57" w:type="dxa"/>
                              <w:left w:w="28" w:type="dxa"/>
                              <w:bottom w:w="57" w:type="dxa"/>
                              <w:right w:w="28" w:type="dxa"/>
                            </w:tcMar>
                            <w:vAlign w:val="center"/>
                          </w:tcPr>
                          <w:p w:rsidR="001712A9" w:rsidRDefault="001712A9">
                            <w:pPr>
                              <w:ind w:right="98"/>
                              <w:jc w:val="right"/>
                              <w:rPr>
                                <w:rFonts w:ascii="Arial" w:hAnsi="Arial" w:cs="Arial"/>
                                <w:sz w:val="16"/>
                              </w:rPr>
                            </w:pPr>
                          </w:p>
                        </w:tc>
                        <w:tc>
                          <w:tcPr>
                            <w:tcW w:w="706" w:type="dxa"/>
                            <w:tcMar>
                              <w:top w:w="57" w:type="dxa"/>
                              <w:left w:w="28" w:type="dxa"/>
                              <w:bottom w:w="57" w:type="dxa"/>
                              <w:right w:w="28" w:type="dxa"/>
                            </w:tcMar>
                            <w:vAlign w:val="center"/>
                          </w:tcPr>
                          <w:p w:rsidR="001712A9" w:rsidRDefault="001712A9">
                            <w:pPr>
                              <w:jc w:val="right"/>
                              <w:rPr>
                                <w:rFonts w:ascii="Arial" w:hAnsi="Arial" w:cs="Arial"/>
                                <w:sz w:val="16"/>
                              </w:rPr>
                            </w:pPr>
                            <w:r>
                              <w:rPr>
                                <w:rFonts w:ascii="Arial" w:hAnsi="Arial" w:cs="Arial"/>
                                <w:sz w:val="16"/>
                              </w:rPr>
                              <w:t>43.0</w:t>
                            </w:r>
                          </w:p>
                        </w:tc>
                        <w:tc>
                          <w:tcPr>
                            <w:tcW w:w="888" w:type="dxa"/>
                            <w:tcMar>
                              <w:top w:w="57" w:type="dxa"/>
                              <w:left w:w="28" w:type="dxa"/>
                              <w:bottom w:w="57" w:type="dxa"/>
                              <w:right w:w="28" w:type="dxa"/>
                            </w:tcMar>
                            <w:vAlign w:val="center"/>
                          </w:tcPr>
                          <w:p w:rsidR="001712A9" w:rsidRDefault="001712A9">
                            <w:pPr>
                              <w:ind w:right="182"/>
                              <w:jc w:val="right"/>
                              <w:rPr>
                                <w:rFonts w:ascii="Arial" w:hAnsi="Arial" w:cs="Arial"/>
                                <w:sz w:val="16"/>
                              </w:rPr>
                            </w:pPr>
                            <w:r>
                              <w:rPr>
                                <w:rFonts w:ascii="Arial" w:hAnsi="Arial" w:cs="Arial"/>
                                <w:sz w:val="16"/>
                              </w:rPr>
                              <w:t>27.6</w:t>
                            </w:r>
                          </w:p>
                        </w:tc>
                        <w:tc>
                          <w:tcPr>
                            <w:tcW w:w="706" w:type="dxa"/>
                            <w:tcMar>
                              <w:top w:w="57" w:type="dxa"/>
                              <w:left w:w="28" w:type="dxa"/>
                              <w:bottom w:w="57" w:type="dxa"/>
                              <w:right w:w="28" w:type="dxa"/>
                            </w:tcMar>
                            <w:vAlign w:val="center"/>
                          </w:tcPr>
                          <w:p w:rsidR="001712A9" w:rsidRDefault="001712A9">
                            <w:pPr>
                              <w:jc w:val="right"/>
                              <w:rPr>
                                <w:rFonts w:ascii="Arial" w:hAnsi="Arial" w:cs="Arial"/>
                                <w:sz w:val="16"/>
                              </w:rPr>
                            </w:pPr>
                            <w:r>
                              <w:rPr>
                                <w:rFonts w:ascii="Arial" w:hAnsi="Arial" w:cs="Arial"/>
                                <w:sz w:val="16"/>
                              </w:rPr>
                              <w:t>42.9</w:t>
                            </w:r>
                          </w:p>
                        </w:tc>
                        <w:tc>
                          <w:tcPr>
                            <w:tcW w:w="706" w:type="dxa"/>
                            <w:tcBorders>
                              <w:right w:val="nil"/>
                            </w:tcBorders>
                            <w:tcMar>
                              <w:top w:w="57" w:type="dxa"/>
                              <w:left w:w="28" w:type="dxa"/>
                              <w:bottom w:w="57" w:type="dxa"/>
                              <w:right w:w="28" w:type="dxa"/>
                            </w:tcMar>
                            <w:vAlign w:val="center"/>
                          </w:tcPr>
                          <w:p w:rsidR="001712A9" w:rsidRDefault="001712A9">
                            <w:pPr>
                              <w:jc w:val="right"/>
                              <w:rPr>
                                <w:rFonts w:ascii="Arial" w:hAnsi="Arial" w:cs="Arial"/>
                                <w:sz w:val="16"/>
                              </w:rPr>
                            </w:pPr>
                            <w:r>
                              <w:rPr>
                                <w:rFonts w:ascii="Arial" w:hAnsi="Arial" w:cs="Arial"/>
                                <w:sz w:val="16"/>
                              </w:rPr>
                              <w:t>595.8</w:t>
                            </w:r>
                          </w:p>
                        </w:tc>
                      </w:tr>
                      <w:tr w:rsidR="001712A9">
                        <w:tc>
                          <w:tcPr>
                            <w:tcW w:w="1622" w:type="dxa"/>
                            <w:tcBorders>
                              <w:left w:val="nil"/>
                            </w:tcBorders>
                            <w:tcMar>
                              <w:top w:w="57" w:type="dxa"/>
                              <w:left w:w="28" w:type="dxa"/>
                              <w:bottom w:w="57" w:type="dxa"/>
                              <w:right w:w="28" w:type="dxa"/>
                            </w:tcMar>
                            <w:vAlign w:val="center"/>
                          </w:tcPr>
                          <w:p w:rsidR="001712A9" w:rsidRDefault="001712A9">
                            <w:pPr>
                              <w:rPr>
                                <w:rFonts w:ascii="Arial" w:hAnsi="Arial" w:cs="Arial"/>
                                <w:sz w:val="16"/>
                              </w:rPr>
                            </w:pPr>
                            <w:r>
                              <w:rPr>
                                <w:rFonts w:ascii="Arial" w:hAnsi="Arial" w:cs="Arial"/>
                                <w:sz w:val="16"/>
                              </w:rPr>
                              <w:t>Japanese Larch</w:t>
                            </w:r>
                          </w:p>
                        </w:tc>
                        <w:tc>
                          <w:tcPr>
                            <w:tcW w:w="760" w:type="dxa"/>
                            <w:tcMar>
                              <w:top w:w="57" w:type="dxa"/>
                              <w:left w:w="28" w:type="dxa"/>
                              <w:bottom w:w="57" w:type="dxa"/>
                              <w:right w:w="28" w:type="dxa"/>
                            </w:tcMar>
                            <w:vAlign w:val="center"/>
                          </w:tcPr>
                          <w:p w:rsidR="001712A9" w:rsidRDefault="001712A9">
                            <w:pPr>
                              <w:tabs>
                                <w:tab w:val="left" w:pos="542"/>
                              </w:tabs>
                              <w:ind w:right="54"/>
                              <w:jc w:val="right"/>
                              <w:rPr>
                                <w:rFonts w:ascii="Arial" w:hAnsi="Arial" w:cs="Arial"/>
                                <w:sz w:val="16"/>
                              </w:rPr>
                            </w:pPr>
                          </w:p>
                        </w:tc>
                        <w:tc>
                          <w:tcPr>
                            <w:tcW w:w="780" w:type="dxa"/>
                            <w:tcMar>
                              <w:top w:w="57" w:type="dxa"/>
                              <w:left w:w="28" w:type="dxa"/>
                              <w:bottom w:w="57" w:type="dxa"/>
                              <w:right w:w="28" w:type="dxa"/>
                            </w:tcMar>
                            <w:vAlign w:val="center"/>
                          </w:tcPr>
                          <w:p w:rsidR="001712A9" w:rsidRDefault="001712A9">
                            <w:pPr>
                              <w:ind w:right="98"/>
                              <w:jc w:val="right"/>
                              <w:rPr>
                                <w:rFonts w:ascii="Arial" w:hAnsi="Arial" w:cs="Arial"/>
                                <w:sz w:val="16"/>
                              </w:rPr>
                            </w:pPr>
                          </w:p>
                        </w:tc>
                        <w:tc>
                          <w:tcPr>
                            <w:tcW w:w="706" w:type="dxa"/>
                            <w:tcMar>
                              <w:top w:w="57" w:type="dxa"/>
                              <w:left w:w="28" w:type="dxa"/>
                              <w:bottom w:w="57" w:type="dxa"/>
                              <w:right w:w="28" w:type="dxa"/>
                            </w:tcMar>
                            <w:vAlign w:val="center"/>
                          </w:tcPr>
                          <w:p w:rsidR="001712A9" w:rsidRDefault="001712A9">
                            <w:pPr>
                              <w:jc w:val="right"/>
                              <w:rPr>
                                <w:rFonts w:ascii="Arial" w:hAnsi="Arial" w:cs="Arial"/>
                                <w:sz w:val="16"/>
                              </w:rPr>
                            </w:pPr>
                          </w:p>
                        </w:tc>
                        <w:tc>
                          <w:tcPr>
                            <w:tcW w:w="888" w:type="dxa"/>
                            <w:tcMar>
                              <w:top w:w="57" w:type="dxa"/>
                              <w:left w:w="28" w:type="dxa"/>
                              <w:bottom w:w="57" w:type="dxa"/>
                              <w:right w:w="28" w:type="dxa"/>
                            </w:tcMar>
                            <w:vAlign w:val="center"/>
                          </w:tcPr>
                          <w:p w:rsidR="001712A9" w:rsidRDefault="001712A9">
                            <w:pPr>
                              <w:ind w:right="182"/>
                              <w:jc w:val="right"/>
                              <w:rPr>
                                <w:rFonts w:ascii="Arial" w:hAnsi="Arial" w:cs="Arial"/>
                                <w:sz w:val="16"/>
                              </w:rPr>
                            </w:pPr>
                          </w:p>
                        </w:tc>
                        <w:tc>
                          <w:tcPr>
                            <w:tcW w:w="706" w:type="dxa"/>
                            <w:tcMar>
                              <w:top w:w="57" w:type="dxa"/>
                              <w:left w:w="28" w:type="dxa"/>
                              <w:bottom w:w="57" w:type="dxa"/>
                              <w:right w:w="28" w:type="dxa"/>
                            </w:tcMar>
                            <w:vAlign w:val="center"/>
                          </w:tcPr>
                          <w:p w:rsidR="001712A9" w:rsidRDefault="001712A9">
                            <w:pPr>
                              <w:jc w:val="right"/>
                              <w:rPr>
                                <w:rFonts w:ascii="Arial" w:hAnsi="Arial" w:cs="Arial"/>
                                <w:sz w:val="16"/>
                              </w:rPr>
                            </w:pPr>
                            <w:r>
                              <w:rPr>
                                <w:rFonts w:ascii="Arial" w:hAnsi="Arial" w:cs="Arial"/>
                                <w:sz w:val="16"/>
                              </w:rPr>
                              <w:t>3.9</w:t>
                            </w:r>
                          </w:p>
                        </w:tc>
                        <w:tc>
                          <w:tcPr>
                            <w:tcW w:w="706" w:type="dxa"/>
                            <w:tcBorders>
                              <w:right w:val="nil"/>
                            </w:tcBorders>
                            <w:tcMar>
                              <w:top w:w="57" w:type="dxa"/>
                              <w:left w:w="28" w:type="dxa"/>
                              <w:bottom w:w="57" w:type="dxa"/>
                              <w:right w:w="28" w:type="dxa"/>
                            </w:tcMar>
                            <w:vAlign w:val="center"/>
                          </w:tcPr>
                          <w:p w:rsidR="001712A9" w:rsidRDefault="001712A9">
                            <w:pPr>
                              <w:jc w:val="right"/>
                              <w:rPr>
                                <w:rFonts w:ascii="Arial" w:hAnsi="Arial" w:cs="Arial"/>
                                <w:sz w:val="16"/>
                              </w:rPr>
                            </w:pPr>
                          </w:p>
                        </w:tc>
                      </w:tr>
                      <w:tr w:rsidR="001712A9">
                        <w:tc>
                          <w:tcPr>
                            <w:tcW w:w="1622" w:type="dxa"/>
                            <w:tcBorders>
                              <w:left w:val="nil"/>
                            </w:tcBorders>
                            <w:tcMar>
                              <w:top w:w="57" w:type="dxa"/>
                              <w:left w:w="28" w:type="dxa"/>
                              <w:bottom w:w="57" w:type="dxa"/>
                              <w:right w:w="28" w:type="dxa"/>
                            </w:tcMar>
                            <w:vAlign w:val="center"/>
                          </w:tcPr>
                          <w:p w:rsidR="001712A9" w:rsidRDefault="001712A9">
                            <w:pPr>
                              <w:rPr>
                                <w:rFonts w:ascii="Arial" w:hAnsi="Arial" w:cs="Arial"/>
                                <w:sz w:val="16"/>
                              </w:rPr>
                            </w:pPr>
                            <w:r>
                              <w:rPr>
                                <w:rFonts w:ascii="Arial" w:hAnsi="Arial" w:cs="Arial"/>
                                <w:sz w:val="16"/>
                              </w:rPr>
                              <w:t>Noble fir</w:t>
                            </w:r>
                          </w:p>
                        </w:tc>
                        <w:tc>
                          <w:tcPr>
                            <w:tcW w:w="760" w:type="dxa"/>
                            <w:tcMar>
                              <w:top w:w="57" w:type="dxa"/>
                              <w:left w:w="28" w:type="dxa"/>
                              <w:bottom w:w="57" w:type="dxa"/>
                              <w:right w:w="28" w:type="dxa"/>
                            </w:tcMar>
                            <w:vAlign w:val="center"/>
                          </w:tcPr>
                          <w:p w:rsidR="001712A9" w:rsidRDefault="001712A9">
                            <w:pPr>
                              <w:tabs>
                                <w:tab w:val="left" w:pos="542"/>
                              </w:tabs>
                              <w:ind w:right="54"/>
                              <w:jc w:val="right"/>
                              <w:rPr>
                                <w:rFonts w:ascii="Arial" w:hAnsi="Arial" w:cs="Arial"/>
                                <w:sz w:val="16"/>
                              </w:rPr>
                            </w:pPr>
                          </w:p>
                        </w:tc>
                        <w:tc>
                          <w:tcPr>
                            <w:tcW w:w="780" w:type="dxa"/>
                            <w:tcMar>
                              <w:top w:w="57" w:type="dxa"/>
                              <w:left w:w="28" w:type="dxa"/>
                              <w:bottom w:w="57" w:type="dxa"/>
                              <w:right w:w="28" w:type="dxa"/>
                            </w:tcMar>
                            <w:vAlign w:val="center"/>
                          </w:tcPr>
                          <w:p w:rsidR="001712A9" w:rsidRDefault="001712A9">
                            <w:pPr>
                              <w:ind w:right="98"/>
                              <w:jc w:val="right"/>
                              <w:rPr>
                                <w:rFonts w:ascii="Arial" w:hAnsi="Arial" w:cs="Arial"/>
                                <w:sz w:val="16"/>
                              </w:rPr>
                            </w:pPr>
                            <w:r>
                              <w:rPr>
                                <w:rFonts w:ascii="Arial" w:hAnsi="Arial" w:cs="Arial"/>
                                <w:sz w:val="16"/>
                              </w:rPr>
                              <w:t>7.0</w:t>
                            </w:r>
                          </w:p>
                        </w:tc>
                        <w:tc>
                          <w:tcPr>
                            <w:tcW w:w="706" w:type="dxa"/>
                            <w:tcMar>
                              <w:top w:w="57" w:type="dxa"/>
                              <w:left w:w="28" w:type="dxa"/>
                              <w:bottom w:w="57" w:type="dxa"/>
                              <w:right w:w="28" w:type="dxa"/>
                            </w:tcMar>
                            <w:vAlign w:val="center"/>
                          </w:tcPr>
                          <w:p w:rsidR="001712A9" w:rsidRDefault="001712A9">
                            <w:pPr>
                              <w:jc w:val="right"/>
                              <w:rPr>
                                <w:rFonts w:ascii="Arial" w:hAnsi="Arial" w:cs="Arial"/>
                                <w:sz w:val="16"/>
                              </w:rPr>
                            </w:pPr>
                          </w:p>
                        </w:tc>
                        <w:tc>
                          <w:tcPr>
                            <w:tcW w:w="888" w:type="dxa"/>
                            <w:tcMar>
                              <w:top w:w="57" w:type="dxa"/>
                              <w:left w:w="28" w:type="dxa"/>
                              <w:bottom w:w="57" w:type="dxa"/>
                              <w:right w:w="28" w:type="dxa"/>
                            </w:tcMar>
                            <w:vAlign w:val="center"/>
                          </w:tcPr>
                          <w:p w:rsidR="001712A9" w:rsidRDefault="001712A9">
                            <w:pPr>
                              <w:ind w:right="182"/>
                              <w:jc w:val="right"/>
                              <w:rPr>
                                <w:rFonts w:ascii="Arial" w:hAnsi="Arial" w:cs="Arial"/>
                                <w:sz w:val="16"/>
                              </w:rPr>
                            </w:pPr>
                          </w:p>
                        </w:tc>
                        <w:tc>
                          <w:tcPr>
                            <w:tcW w:w="706" w:type="dxa"/>
                            <w:tcMar>
                              <w:top w:w="57" w:type="dxa"/>
                              <w:left w:w="28" w:type="dxa"/>
                              <w:bottom w:w="57" w:type="dxa"/>
                              <w:right w:w="28" w:type="dxa"/>
                            </w:tcMar>
                            <w:vAlign w:val="center"/>
                          </w:tcPr>
                          <w:p w:rsidR="001712A9" w:rsidRDefault="001712A9">
                            <w:pPr>
                              <w:jc w:val="right"/>
                              <w:rPr>
                                <w:rFonts w:ascii="Arial" w:hAnsi="Arial" w:cs="Arial"/>
                                <w:sz w:val="16"/>
                              </w:rPr>
                            </w:pPr>
                          </w:p>
                        </w:tc>
                        <w:tc>
                          <w:tcPr>
                            <w:tcW w:w="706" w:type="dxa"/>
                            <w:tcBorders>
                              <w:right w:val="nil"/>
                            </w:tcBorders>
                            <w:tcMar>
                              <w:top w:w="57" w:type="dxa"/>
                              <w:left w:w="28" w:type="dxa"/>
                              <w:bottom w:w="57" w:type="dxa"/>
                              <w:right w:w="28" w:type="dxa"/>
                            </w:tcMar>
                            <w:vAlign w:val="center"/>
                          </w:tcPr>
                          <w:p w:rsidR="001712A9" w:rsidRDefault="001712A9">
                            <w:pPr>
                              <w:jc w:val="right"/>
                              <w:rPr>
                                <w:rFonts w:ascii="Arial" w:hAnsi="Arial" w:cs="Arial"/>
                                <w:sz w:val="16"/>
                              </w:rPr>
                            </w:pPr>
                          </w:p>
                        </w:tc>
                      </w:tr>
                      <w:tr w:rsidR="001712A9">
                        <w:tc>
                          <w:tcPr>
                            <w:tcW w:w="1622" w:type="dxa"/>
                            <w:tcBorders>
                              <w:left w:val="nil"/>
                            </w:tcBorders>
                            <w:tcMar>
                              <w:top w:w="57" w:type="dxa"/>
                              <w:left w:w="28" w:type="dxa"/>
                              <w:bottom w:w="57" w:type="dxa"/>
                              <w:right w:w="28" w:type="dxa"/>
                            </w:tcMar>
                            <w:vAlign w:val="center"/>
                          </w:tcPr>
                          <w:p w:rsidR="001712A9" w:rsidRDefault="001712A9">
                            <w:pPr>
                              <w:rPr>
                                <w:rFonts w:ascii="Arial" w:hAnsi="Arial" w:cs="Arial"/>
                                <w:sz w:val="16"/>
                              </w:rPr>
                            </w:pPr>
                            <w:r>
                              <w:rPr>
                                <w:rFonts w:ascii="Arial" w:hAnsi="Arial" w:cs="Arial"/>
                                <w:sz w:val="16"/>
                              </w:rPr>
                              <w:t>Douglas fir</w:t>
                            </w:r>
                          </w:p>
                        </w:tc>
                        <w:tc>
                          <w:tcPr>
                            <w:tcW w:w="760" w:type="dxa"/>
                            <w:tcMar>
                              <w:top w:w="57" w:type="dxa"/>
                              <w:left w:w="28" w:type="dxa"/>
                              <w:bottom w:w="57" w:type="dxa"/>
                              <w:right w:w="28" w:type="dxa"/>
                            </w:tcMar>
                            <w:vAlign w:val="center"/>
                          </w:tcPr>
                          <w:p w:rsidR="001712A9" w:rsidRDefault="001712A9">
                            <w:pPr>
                              <w:tabs>
                                <w:tab w:val="left" w:pos="542"/>
                              </w:tabs>
                              <w:ind w:right="54"/>
                              <w:jc w:val="right"/>
                              <w:rPr>
                                <w:rFonts w:ascii="Arial" w:hAnsi="Arial" w:cs="Arial"/>
                                <w:sz w:val="16"/>
                              </w:rPr>
                            </w:pPr>
                          </w:p>
                        </w:tc>
                        <w:tc>
                          <w:tcPr>
                            <w:tcW w:w="780" w:type="dxa"/>
                            <w:tcMar>
                              <w:top w:w="57" w:type="dxa"/>
                              <w:left w:w="28" w:type="dxa"/>
                              <w:bottom w:w="57" w:type="dxa"/>
                              <w:right w:w="28" w:type="dxa"/>
                            </w:tcMar>
                            <w:vAlign w:val="center"/>
                          </w:tcPr>
                          <w:p w:rsidR="001712A9" w:rsidRDefault="001712A9">
                            <w:pPr>
                              <w:ind w:right="98"/>
                              <w:jc w:val="right"/>
                              <w:rPr>
                                <w:rFonts w:ascii="Arial" w:hAnsi="Arial" w:cs="Arial"/>
                                <w:sz w:val="16"/>
                              </w:rPr>
                            </w:pPr>
                            <w:r>
                              <w:rPr>
                                <w:rFonts w:ascii="Arial" w:hAnsi="Arial" w:cs="Arial"/>
                                <w:sz w:val="16"/>
                              </w:rPr>
                              <w:t>31.7</w:t>
                            </w:r>
                          </w:p>
                        </w:tc>
                        <w:tc>
                          <w:tcPr>
                            <w:tcW w:w="706" w:type="dxa"/>
                            <w:tcMar>
                              <w:top w:w="57" w:type="dxa"/>
                              <w:left w:w="28" w:type="dxa"/>
                              <w:bottom w:w="57" w:type="dxa"/>
                              <w:right w:w="28" w:type="dxa"/>
                            </w:tcMar>
                            <w:vAlign w:val="center"/>
                          </w:tcPr>
                          <w:p w:rsidR="001712A9" w:rsidRDefault="001712A9">
                            <w:pPr>
                              <w:jc w:val="right"/>
                              <w:rPr>
                                <w:rFonts w:ascii="Arial" w:hAnsi="Arial" w:cs="Arial"/>
                                <w:sz w:val="16"/>
                              </w:rPr>
                            </w:pPr>
                          </w:p>
                        </w:tc>
                        <w:tc>
                          <w:tcPr>
                            <w:tcW w:w="888" w:type="dxa"/>
                            <w:tcMar>
                              <w:top w:w="57" w:type="dxa"/>
                              <w:left w:w="28" w:type="dxa"/>
                              <w:bottom w:w="57" w:type="dxa"/>
                              <w:right w:w="28" w:type="dxa"/>
                            </w:tcMar>
                            <w:vAlign w:val="center"/>
                          </w:tcPr>
                          <w:p w:rsidR="001712A9" w:rsidRDefault="001712A9">
                            <w:pPr>
                              <w:ind w:right="182"/>
                              <w:jc w:val="right"/>
                              <w:rPr>
                                <w:rFonts w:ascii="Arial" w:hAnsi="Arial" w:cs="Arial"/>
                                <w:sz w:val="16"/>
                              </w:rPr>
                            </w:pPr>
                            <w:r>
                              <w:rPr>
                                <w:rFonts w:ascii="Arial" w:hAnsi="Arial" w:cs="Arial"/>
                                <w:sz w:val="16"/>
                              </w:rPr>
                              <w:t>15.6</w:t>
                            </w:r>
                          </w:p>
                        </w:tc>
                        <w:tc>
                          <w:tcPr>
                            <w:tcW w:w="706" w:type="dxa"/>
                            <w:tcMar>
                              <w:top w:w="57" w:type="dxa"/>
                              <w:left w:w="28" w:type="dxa"/>
                              <w:bottom w:w="57" w:type="dxa"/>
                              <w:right w:w="28" w:type="dxa"/>
                            </w:tcMar>
                            <w:vAlign w:val="center"/>
                          </w:tcPr>
                          <w:p w:rsidR="001712A9" w:rsidRDefault="001712A9">
                            <w:pPr>
                              <w:jc w:val="right"/>
                              <w:rPr>
                                <w:rFonts w:ascii="Arial" w:hAnsi="Arial" w:cs="Arial"/>
                                <w:sz w:val="16"/>
                              </w:rPr>
                            </w:pPr>
                            <w:r>
                              <w:rPr>
                                <w:rFonts w:ascii="Arial" w:hAnsi="Arial" w:cs="Arial"/>
                                <w:sz w:val="16"/>
                              </w:rPr>
                              <w:t>52.1</w:t>
                            </w:r>
                          </w:p>
                        </w:tc>
                        <w:tc>
                          <w:tcPr>
                            <w:tcW w:w="706" w:type="dxa"/>
                            <w:tcBorders>
                              <w:right w:val="nil"/>
                            </w:tcBorders>
                            <w:tcMar>
                              <w:top w:w="57" w:type="dxa"/>
                              <w:left w:w="28" w:type="dxa"/>
                              <w:bottom w:w="57" w:type="dxa"/>
                              <w:right w:w="28" w:type="dxa"/>
                            </w:tcMar>
                            <w:vAlign w:val="center"/>
                          </w:tcPr>
                          <w:p w:rsidR="001712A9" w:rsidRDefault="001712A9">
                            <w:pPr>
                              <w:jc w:val="right"/>
                              <w:rPr>
                                <w:rFonts w:ascii="Arial" w:hAnsi="Arial" w:cs="Arial"/>
                                <w:sz w:val="16"/>
                              </w:rPr>
                            </w:pPr>
                          </w:p>
                        </w:tc>
                      </w:tr>
                      <w:tr w:rsidR="001712A9">
                        <w:tc>
                          <w:tcPr>
                            <w:tcW w:w="1622" w:type="dxa"/>
                            <w:tcBorders>
                              <w:left w:val="nil"/>
                            </w:tcBorders>
                            <w:tcMar>
                              <w:top w:w="57" w:type="dxa"/>
                              <w:left w:w="28" w:type="dxa"/>
                              <w:bottom w:w="57" w:type="dxa"/>
                              <w:right w:w="28" w:type="dxa"/>
                            </w:tcMar>
                            <w:vAlign w:val="center"/>
                          </w:tcPr>
                          <w:p w:rsidR="001712A9" w:rsidRDefault="001712A9">
                            <w:pPr>
                              <w:rPr>
                                <w:rFonts w:ascii="Arial" w:hAnsi="Arial" w:cs="Arial"/>
                                <w:sz w:val="16"/>
                              </w:rPr>
                            </w:pPr>
                            <w:r>
                              <w:rPr>
                                <w:rFonts w:ascii="Arial" w:hAnsi="Arial" w:cs="Arial"/>
                                <w:sz w:val="16"/>
                              </w:rPr>
                              <w:t>Sycamore</w:t>
                            </w:r>
                          </w:p>
                        </w:tc>
                        <w:tc>
                          <w:tcPr>
                            <w:tcW w:w="760" w:type="dxa"/>
                            <w:tcMar>
                              <w:top w:w="57" w:type="dxa"/>
                              <w:left w:w="28" w:type="dxa"/>
                              <w:bottom w:w="57" w:type="dxa"/>
                              <w:right w:w="28" w:type="dxa"/>
                            </w:tcMar>
                            <w:vAlign w:val="center"/>
                          </w:tcPr>
                          <w:p w:rsidR="001712A9" w:rsidRDefault="001712A9">
                            <w:pPr>
                              <w:tabs>
                                <w:tab w:val="left" w:pos="542"/>
                              </w:tabs>
                              <w:ind w:right="54"/>
                              <w:jc w:val="right"/>
                              <w:rPr>
                                <w:rFonts w:ascii="Arial" w:hAnsi="Arial" w:cs="Arial"/>
                                <w:sz w:val="16"/>
                              </w:rPr>
                            </w:pPr>
                          </w:p>
                        </w:tc>
                        <w:tc>
                          <w:tcPr>
                            <w:tcW w:w="780" w:type="dxa"/>
                            <w:tcMar>
                              <w:top w:w="57" w:type="dxa"/>
                              <w:left w:w="28" w:type="dxa"/>
                              <w:bottom w:w="57" w:type="dxa"/>
                              <w:right w:w="28" w:type="dxa"/>
                            </w:tcMar>
                            <w:vAlign w:val="center"/>
                          </w:tcPr>
                          <w:p w:rsidR="001712A9" w:rsidRDefault="001712A9">
                            <w:pPr>
                              <w:ind w:right="98"/>
                              <w:jc w:val="right"/>
                              <w:rPr>
                                <w:rFonts w:ascii="Arial" w:hAnsi="Arial" w:cs="Arial"/>
                                <w:sz w:val="16"/>
                              </w:rPr>
                            </w:pPr>
                          </w:p>
                        </w:tc>
                        <w:tc>
                          <w:tcPr>
                            <w:tcW w:w="706" w:type="dxa"/>
                            <w:tcMar>
                              <w:top w:w="57" w:type="dxa"/>
                              <w:left w:w="28" w:type="dxa"/>
                              <w:bottom w:w="57" w:type="dxa"/>
                              <w:right w:w="28" w:type="dxa"/>
                            </w:tcMar>
                            <w:vAlign w:val="center"/>
                          </w:tcPr>
                          <w:p w:rsidR="001712A9" w:rsidRDefault="001712A9">
                            <w:pPr>
                              <w:jc w:val="right"/>
                              <w:rPr>
                                <w:rFonts w:ascii="Arial" w:hAnsi="Arial" w:cs="Arial"/>
                                <w:sz w:val="16"/>
                              </w:rPr>
                            </w:pPr>
                            <w:r>
                              <w:rPr>
                                <w:rFonts w:ascii="Arial" w:hAnsi="Arial" w:cs="Arial"/>
                                <w:sz w:val="16"/>
                              </w:rPr>
                              <w:t>11.2</w:t>
                            </w:r>
                          </w:p>
                        </w:tc>
                        <w:tc>
                          <w:tcPr>
                            <w:tcW w:w="888" w:type="dxa"/>
                            <w:tcMar>
                              <w:top w:w="57" w:type="dxa"/>
                              <w:left w:w="28" w:type="dxa"/>
                              <w:bottom w:w="57" w:type="dxa"/>
                              <w:right w:w="28" w:type="dxa"/>
                            </w:tcMar>
                            <w:vAlign w:val="center"/>
                          </w:tcPr>
                          <w:p w:rsidR="001712A9" w:rsidRDefault="001712A9">
                            <w:pPr>
                              <w:ind w:right="182"/>
                              <w:jc w:val="right"/>
                              <w:rPr>
                                <w:rFonts w:ascii="Arial" w:hAnsi="Arial" w:cs="Arial"/>
                                <w:sz w:val="16"/>
                              </w:rPr>
                            </w:pPr>
                          </w:p>
                        </w:tc>
                        <w:tc>
                          <w:tcPr>
                            <w:tcW w:w="706" w:type="dxa"/>
                            <w:tcMar>
                              <w:top w:w="57" w:type="dxa"/>
                              <w:left w:w="28" w:type="dxa"/>
                              <w:bottom w:w="57" w:type="dxa"/>
                              <w:right w:w="28" w:type="dxa"/>
                            </w:tcMar>
                            <w:vAlign w:val="center"/>
                          </w:tcPr>
                          <w:p w:rsidR="001712A9" w:rsidRDefault="001712A9">
                            <w:pPr>
                              <w:jc w:val="right"/>
                              <w:rPr>
                                <w:rFonts w:ascii="Arial" w:hAnsi="Arial" w:cs="Arial"/>
                                <w:sz w:val="16"/>
                              </w:rPr>
                            </w:pPr>
                          </w:p>
                        </w:tc>
                        <w:tc>
                          <w:tcPr>
                            <w:tcW w:w="706" w:type="dxa"/>
                            <w:tcBorders>
                              <w:right w:val="nil"/>
                            </w:tcBorders>
                            <w:tcMar>
                              <w:top w:w="57" w:type="dxa"/>
                              <w:left w:w="28" w:type="dxa"/>
                              <w:bottom w:w="57" w:type="dxa"/>
                              <w:right w:w="28" w:type="dxa"/>
                            </w:tcMar>
                            <w:vAlign w:val="center"/>
                          </w:tcPr>
                          <w:p w:rsidR="001712A9" w:rsidRDefault="001712A9">
                            <w:pPr>
                              <w:jc w:val="right"/>
                              <w:rPr>
                                <w:rFonts w:ascii="Arial" w:hAnsi="Arial" w:cs="Arial"/>
                                <w:sz w:val="16"/>
                              </w:rPr>
                            </w:pPr>
                          </w:p>
                        </w:tc>
                      </w:tr>
                      <w:tr w:rsidR="001712A9">
                        <w:tc>
                          <w:tcPr>
                            <w:tcW w:w="1622" w:type="dxa"/>
                            <w:tcBorders>
                              <w:left w:val="nil"/>
                            </w:tcBorders>
                            <w:tcMar>
                              <w:top w:w="57" w:type="dxa"/>
                              <w:left w:w="28" w:type="dxa"/>
                              <w:bottom w:w="57" w:type="dxa"/>
                              <w:right w:w="28" w:type="dxa"/>
                            </w:tcMar>
                            <w:vAlign w:val="center"/>
                          </w:tcPr>
                          <w:p w:rsidR="001712A9" w:rsidRDefault="001712A9">
                            <w:pPr>
                              <w:rPr>
                                <w:rFonts w:ascii="Arial" w:hAnsi="Arial" w:cs="Arial"/>
                                <w:sz w:val="16"/>
                              </w:rPr>
                            </w:pPr>
                            <w:r>
                              <w:rPr>
                                <w:rFonts w:ascii="Arial" w:hAnsi="Arial" w:cs="Arial"/>
                                <w:sz w:val="16"/>
                              </w:rPr>
                              <w:t>Monterey pine</w:t>
                            </w:r>
                          </w:p>
                        </w:tc>
                        <w:tc>
                          <w:tcPr>
                            <w:tcW w:w="760" w:type="dxa"/>
                            <w:tcMar>
                              <w:top w:w="57" w:type="dxa"/>
                              <w:left w:w="28" w:type="dxa"/>
                              <w:bottom w:w="57" w:type="dxa"/>
                              <w:right w:w="28" w:type="dxa"/>
                            </w:tcMar>
                            <w:vAlign w:val="center"/>
                          </w:tcPr>
                          <w:p w:rsidR="001712A9" w:rsidRDefault="001712A9">
                            <w:pPr>
                              <w:tabs>
                                <w:tab w:val="left" w:pos="542"/>
                              </w:tabs>
                              <w:ind w:right="54"/>
                              <w:jc w:val="right"/>
                              <w:rPr>
                                <w:rFonts w:ascii="Arial" w:hAnsi="Arial" w:cs="Arial"/>
                                <w:sz w:val="16"/>
                              </w:rPr>
                            </w:pPr>
                          </w:p>
                        </w:tc>
                        <w:tc>
                          <w:tcPr>
                            <w:tcW w:w="780" w:type="dxa"/>
                            <w:tcMar>
                              <w:top w:w="57" w:type="dxa"/>
                              <w:left w:w="28" w:type="dxa"/>
                              <w:bottom w:w="57" w:type="dxa"/>
                              <w:right w:w="28" w:type="dxa"/>
                            </w:tcMar>
                            <w:vAlign w:val="center"/>
                          </w:tcPr>
                          <w:p w:rsidR="001712A9" w:rsidRDefault="001712A9">
                            <w:pPr>
                              <w:ind w:right="98"/>
                              <w:jc w:val="right"/>
                              <w:rPr>
                                <w:rFonts w:ascii="Arial" w:hAnsi="Arial" w:cs="Arial"/>
                                <w:sz w:val="16"/>
                              </w:rPr>
                            </w:pPr>
                          </w:p>
                        </w:tc>
                        <w:tc>
                          <w:tcPr>
                            <w:tcW w:w="706" w:type="dxa"/>
                            <w:tcMar>
                              <w:top w:w="57" w:type="dxa"/>
                              <w:left w:w="28" w:type="dxa"/>
                              <w:bottom w:w="57" w:type="dxa"/>
                              <w:right w:w="28" w:type="dxa"/>
                            </w:tcMar>
                            <w:vAlign w:val="center"/>
                          </w:tcPr>
                          <w:p w:rsidR="001712A9" w:rsidRDefault="001712A9">
                            <w:pPr>
                              <w:jc w:val="right"/>
                              <w:rPr>
                                <w:rFonts w:ascii="Arial" w:hAnsi="Arial" w:cs="Arial"/>
                                <w:sz w:val="16"/>
                              </w:rPr>
                            </w:pPr>
                            <w:r>
                              <w:rPr>
                                <w:rFonts w:ascii="Arial" w:hAnsi="Arial" w:cs="Arial"/>
                                <w:sz w:val="16"/>
                              </w:rPr>
                              <w:t>2.0</w:t>
                            </w:r>
                          </w:p>
                        </w:tc>
                        <w:tc>
                          <w:tcPr>
                            <w:tcW w:w="888" w:type="dxa"/>
                            <w:tcMar>
                              <w:top w:w="57" w:type="dxa"/>
                              <w:left w:w="28" w:type="dxa"/>
                              <w:bottom w:w="57" w:type="dxa"/>
                              <w:right w:w="28" w:type="dxa"/>
                            </w:tcMar>
                            <w:vAlign w:val="center"/>
                          </w:tcPr>
                          <w:p w:rsidR="001712A9" w:rsidRDefault="001712A9">
                            <w:pPr>
                              <w:ind w:right="182"/>
                              <w:jc w:val="right"/>
                              <w:rPr>
                                <w:rFonts w:ascii="Arial" w:hAnsi="Arial" w:cs="Arial"/>
                                <w:sz w:val="16"/>
                              </w:rPr>
                            </w:pPr>
                          </w:p>
                        </w:tc>
                        <w:tc>
                          <w:tcPr>
                            <w:tcW w:w="706" w:type="dxa"/>
                            <w:tcMar>
                              <w:top w:w="57" w:type="dxa"/>
                              <w:left w:w="28" w:type="dxa"/>
                              <w:bottom w:w="57" w:type="dxa"/>
                              <w:right w:w="28" w:type="dxa"/>
                            </w:tcMar>
                            <w:vAlign w:val="center"/>
                          </w:tcPr>
                          <w:p w:rsidR="001712A9" w:rsidRDefault="001712A9">
                            <w:pPr>
                              <w:jc w:val="right"/>
                              <w:rPr>
                                <w:rFonts w:ascii="Arial" w:hAnsi="Arial" w:cs="Arial"/>
                                <w:sz w:val="16"/>
                              </w:rPr>
                            </w:pPr>
                          </w:p>
                        </w:tc>
                        <w:tc>
                          <w:tcPr>
                            <w:tcW w:w="706" w:type="dxa"/>
                            <w:tcBorders>
                              <w:right w:val="nil"/>
                            </w:tcBorders>
                            <w:tcMar>
                              <w:top w:w="57" w:type="dxa"/>
                              <w:left w:w="28" w:type="dxa"/>
                              <w:bottom w:w="57" w:type="dxa"/>
                              <w:right w:w="28" w:type="dxa"/>
                            </w:tcMar>
                            <w:vAlign w:val="center"/>
                          </w:tcPr>
                          <w:p w:rsidR="001712A9" w:rsidRDefault="001712A9">
                            <w:pPr>
                              <w:jc w:val="right"/>
                              <w:rPr>
                                <w:rFonts w:ascii="Arial" w:hAnsi="Arial" w:cs="Arial"/>
                                <w:sz w:val="16"/>
                              </w:rPr>
                            </w:pPr>
                          </w:p>
                        </w:tc>
                      </w:tr>
                      <w:tr w:rsidR="001712A9">
                        <w:tc>
                          <w:tcPr>
                            <w:tcW w:w="1622" w:type="dxa"/>
                            <w:tcBorders>
                              <w:left w:val="nil"/>
                            </w:tcBorders>
                            <w:tcMar>
                              <w:top w:w="57" w:type="dxa"/>
                              <w:left w:w="28" w:type="dxa"/>
                              <w:bottom w:w="57" w:type="dxa"/>
                              <w:right w:w="28" w:type="dxa"/>
                            </w:tcMar>
                            <w:vAlign w:val="center"/>
                          </w:tcPr>
                          <w:p w:rsidR="001712A9" w:rsidRDefault="001712A9">
                            <w:pPr>
                              <w:rPr>
                                <w:rFonts w:ascii="Arial" w:hAnsi="Arial" w:cs="Arial"/>
                                <w:sz w:val="16"/>
                              </w:rPr>
                            </w:pPr>
                            <w:r>
                              <w:rPr>
                                <w:rFonts w:ascii="Arial" w:hAnsi="Arial" w:cs="Arial"/>
                                <w:sz w:val="16"/>
                              </w:rPr>
                              <w:t>Western red cedar</w:t>
                            </w:r>
                          </w:p>
                        </w:tc>
                        <w:tc>
                          <w:tcPr>
                            <w:tcW w:w="760" w:type="dxa"/>
                            <w:tcMar>
                              <w:top w:w="57" w:type="dxa"/>
                              <w:left w:w="28" w:type="dxa"/>
                              <w:bottom w:w="57" w:type="dxa"/>
                              <w:right w:w="28" w:type="dxa"/>
                            </w:tcMar>
                            <w:vAlign w:val="center"/>
                          </w:tcPr>
                          <w:p w:rsidR="001712A9" w:rsidRDefault="001712A9">
                            <w:pPr>
                              <w:tabs>
                                <w:tab w:val="left" w:pos="542"/>
                              </w:tabs>
                              <w:ind w:right="54"/>
                              <w:jc w:val="right"/>
                              <w:rPr>
                                <w:rFonts w:ascii="Arial" w:hAnsi="Arial" w:cs="Arial"/>
                                <w:sz w:val="16"/>
                              </w:rPr>
                            </w:pPr>
                          </w:p>
                        </w:tc>
                        <w:tc>
                          <w:tcPr>
                            <w:tcW w:w="780" w:type="dxa"/>
                            <w:tcMar>
                              <w:top w:w="57" w:type="dxa"/>
                              <w:left w:w="28" w:type="dxa"/>
                              <w:bottom w:w="57" w:type="dxa"/>
                              <w:right w:w="28" w:type="dxa"/>
                            </w:tcMar>
                            <w:vAlign w:val="center"/>
                          </w:tcPr>
                          <w:p w:rsidR="001712A9" w:rsidRDefault="001712A9">
                            <w:pPr>
                              <w:ind w:right="98"/>
                              <w:jc w:val="right"/>
                              <w:rPr>
                                <w:rFonts w:ascii="Arial" w:hAnsi="Arial" w:cs="Arial"/>
                                <w:sz w:val="16"/>
                              </w:rPr>
                            </w:pPr>
                          </w:p>
                        </w:tc>
                        <w:tc>
                          <w:tcPr>
                            <w:tcW w:w="706" w:type="dxa"/>
                            <w:tcMar>
                              <w:top w:w="57" w:type="dxa"/>
                              <w:left w:w="28" w:type="dxa"/>
                              <w:bottom w:w="57" w:type="dxa"/>
                              <w:right w:w="28" w:type="dxa"/>
                            </w:tcMar>
                            <w:vAlign w:val="center"/>
                          </w:tcPr>
                          <w:p w:rsidR="001712A9" w:rsidRDefault="001712A9">
                            <w:pPr>
                              <w:jc w:val="right"/>
                              <w:rPr>
                                <w:rFonts w:ascii="Arial" w:hAnsi="Arial" w:cs="Arial"/>
                                <w:sz w:val="16"/>
                              </w:rPr>
                            </w:pPr>
                            <w:r>
                              <w:rPr>
                                <w:rFonts w:ascii="Arial" w:hAnsi="Arial" w:cs="Arial"/>
                                <w:sz w:val="16"/>
                              </w:rPr>
                              <w:t>1.4</w:t>
                            </w:r>
                          </w:p>
                        </w:tc>
                        <w:tc>
                          <w:tcPr>
                            <w:tcW w:w="888" w:type="dxa"/>
                            <w:tcMar>
                              <w:top w:w="57" w:type="dxa"/>
                              <w:left w:w="28" w:type="dxa"/>
                              <w:bottom w:w="57" w:type="dxa"/>
                              <w:right w:w="28" w:type="dxa"/>
                            </w:tcMar>
                            <w:vAlign w:val="center"/>
                          </w:tcPr>
                          <w:p w:rsidR="001712A9" w:rsidRDefault="001712A9">
                            <w:pPr>
                              <w:ind w:right="182"/>
                              <w:jc w:val="right"/>
                              <w:rPr>
                                <w:rFonts w:ascii="Arial" w:hAnsi="Arial" w:cs="Arial"/>
                                <w:sz w:val="16"/>
                              </w:rPr>
                            </w:pPr>
                            <w:r>
                              <w:rPr>
                                <w:rFonts w:ascii="Arial" w:hAnsi="Arial" w:cs="Arial"/>
                                <w:sz w:val="16"/>
                              </w:rPr>
                              <w:t>4.5</w:t>
                            </w:r>
                          </w:p>
                        </w:tc>
                        <w:tc>
                          <w:tcPr>
                            <w:tcW w:w="706" w:type="dxa"/>
                            <w:tcMar>
                              <w:top w:w="57" w:type="dxa"/>
                              <w:left w:w="28" w:type="dxa"/>
                              <w:bottom w:w="57" w:type="dxa"/>
                              <w:right w:w="28" w:type="dxa"/>
                            </w:tcMar>
                            <w:vAlign w:val="center"/>
                          </w:tcPr>
                          <w:p w:rsidR="001712A9" w:rsidRDefault="001712A9">
                            <w:pPr>
                              <w:jc w:val="right"/>
                              <w:rPr>
                                <w:rFonts w:ascii="Arial" w:hAnsi="Arial" w:cs="Arial"/>
                                <w:sz w:val="16"/>
                              </w:rPr>
                            </w:pPr>
                          </w:p>
                        </w:tc>
                        <w:tc>
                          <w:tcPr>
                            <w:tcW w:w="706" w:type="dxa"/>
                            <w:tcBorders>
                              <w:right w:val="nil"/>
                            </w:tcBorders>
                            <w:tcMar>
                              <w:top w:w="57" w:type="dxa"/>
                              <w:left w:w="28" w:type="dxa"/>
                              <w:bottom w:w="57" w:type="dxa"/>
                              <w:right w:w="28" w:type="dxa"/>
                            </w:tcMar>
                            <w:vAlign w:val="center"/>
                          </w:tcPr>
                          <w:p w:rsidR="001712A9" w:rsidRDefault="001712A9">
                            <w:pPr>
                              <w:jc w:val="right"/>
                              <w:rPr>
                                <w:rFonts w:ascii="Arial" w:hAnsi="Arial" w:cs="Arial"/>
                                <w:sz w:val="16"/>
                              </w:rPr>
                            </w:pPr>
                            <w:r>
                              <w:rPr>
                                <w:rFonts w:ascii="Arial" w:hAnsi="Arial" w:cs="Arial"/>
                                <w:sz w:val="16"/>
                              </w:rPr>
                              <w:t>2.0</w:t>
                            </w:r>
                          </w:p>
                        </w:tc>
                      </w:tr>
                      <w:tr w:rsidR="001712A9">
                        <w:tc>
                          <w:tcPr>
                            <w:tcW w:w="1622" w:type="dxa"/>
                            <w:tcBorders>
                              <w:left w:val="nil"/>
                            </w:tcBorders>
                            <w:tcMar>
                              <w:top w:w="57" w:type="dxa"/>
                              <w:left w:w="28" w:type="dxa"/>
                              <w:bottom w:w="57" w:type="dxa"/>
                              <w:right w:w="28" w:type="dxa"/>
                            </w:tcMar>
                            <w:vAlign w:val="center"/>
                          </w:tcPr>
                          <w:p w:rsidR="001712A9" w:rsidRDefault="001712A9">
                            <w:pPr>
                              <w:rPr>
                                <w:rFonts w:ascii="Arial" w:hAnsi="Arial" w:cs="Arial"/>
                                <w:sz w:val="16"/>
                              </w:rPr>
                            </w:pPr>
                            <w:r>
                              <w:rPr>
                                <w:rFonts w:ascii="Arial" w:hAnsi="Arial" w:cs="Arial"/>
                                <w:sz w:val="16"/>
                              </w:rPr>
                              <w:t>Ash</w:t>
                            </w:r>
                          </w:p>
                        </w:tc>
                        <w:tc>
                          <w:tcPr>
                            <w:tcW w:w="760" w:type="dxa"/>
                            <w:tcMar>
                              <w:top w:w="57" w:type="dxa"/>
                              <w:left w:w="28" w:type="dxa"/>
                              <w:bottom w:w="57" w:type="dxa"/>
                              <w:right w:w="28" w:type="dxa"/>
                            </w:tcMar>
                            <w:vAlign w:val="center"/>
                          </w:tcPr>
                          <w:p w:rsidR="001712A9" w:rsidRDefault="001712A9">
                            <w:pPr>
                              <w:tabs>
                                <w:tab w:val="left" w:pos="542"/>
                              </w:tabs>
                              <w:ind w:right="54"/>
                              <w:jc w:val="right"/>
                              <w:rPr>
                                <w:rFonts w:ascii="Arial" w:hAnsi="Arial" w:cs="Arial"/>
                                <w:sz w:val="16"/>
                              </w:rPr>
                            </w:pPr>
                            <w:r>
                              <w:rPr>
                                <w:rFonts w:ascii="Arial" w:hAnsi="Arial" w:cs="Arial"/>
                                <w:sz w:val="16"/>
                              </w:rPr>
                              <w:t>3.1</w:t>
                            </w:r>
                          </w:p>
                        </w:tc>
                        <w:tc>
                          <w:tcPr>
                            <w:tcW w:w="780" w:type="dxa"/>
                            <w:tcMar>
                              <w:top w:w="57" w:type="dxa"/>
                              <w:left w:w="28" w:type="dxa"/>
                              <w:bottom w:w="57" w:type="dxa"/>
                              <w:right w:w="28" w:type="dxa"/>
                            </w:tcMar>
                            <w:vAlign w:val="center"/>
                          </w:tcPr>
                          <w:p w:rsidR="001712A9" w:rsidRDefault="001712A9">
                            <w:pPr>
                              <w:ind w:right="98"/>
                              <w:jc w:val="right"/>
                              <w:rPr>
                                <w:rFonts w:ascii="Arial" w:hAnsi="Arial" w:cs="Arial"/>
                                <w:sz w:val="16"/>
                              </w:rPr>
                            </w:pPr>
                          </w:p>
                        </w:tc>
                        <w:tc>
                          <w:tcPr>
                            <w:tcW w:w="706" w:type="dxa"/>
                            <w:tcMar>
                              <w:top w:w="57" w:type="dxa"/>
                              <w:left w:w="28" w:type="dxa"/>
                              <w:bottom w:w="57" w:type="dxa"/>
                              <w:right w:w="28" w:type="dxa"/>
                            </w:tcMar>
                            <w:vAlign w:val="center"/>
                          </w:tcPr>
                          <w:p w:rsidR="001712A9" w:rsidRDefault="001712A9">
                            <w:pPr>
                              <w:jc w:val="right"/>
                              <w:rPr>
                                <w:rFonts w:ascii="Arial" w:hAnsi="Arial" w:cs="Arial"/>
                                <w:sz w:val="16"/>
                              </w:rPr>
                            </w:pPr>
                          </w:p>
                        </w:tc>
                        <w:tc>
                          <w:tcPr>
                            <w:tcW w:w="888" w:type="dxa"/>
                            <w:tcMar>
                              <w:top w:w="57" w:type="dxa"/>
                              <w:left w:w="28" w:type="dxa"/>
                              <w:bottom w:w="57" w:type="dxa"/>
                              <w:right w:w="28" w:type="dxa"/>
                            </w:tcMar>
                            <w:vAlign w:val="center"/>
                          </w:tcPr>
                          <w:p w:rsidR="001712A9" w:rsidRDefault="001712A9">
                            <w:pPr>
                              <w:ind w:right="182"/>
                              <w:jc w:val="right"/>
                              <w:rPr>
                                <w:rFonts w:ascii="Arial" w:hAnsi="Arial" w:cs="Arial"/>
                                <w:sz w:val="16"/>
                              </w:rPr>
                            </w:pPr>
                          </w:p>
                        </w:tc>
                        <w:tc>
                          <w:tcPr>
                            <w:tcW w:w="706" w:type="dxa"/>
                            <w:tcMar>
                              <w:top w:w="57" w:type="dxa"/>
                              <w:left w:w="28" w:type="dxa"/>
                              <w:bottom w:w="57" w:type="dxa"/>
                              <w:right w:w="28" w:type="dxa"/>
                            </w:tcMar>
                            <w:vAlign w:val="center"/>
                          </w:tcPr>
                          <w:p w:rsidR="001712A9" w:rsidRDefault="001712A9">
                            <w:pPr>
                              <w:jc w:val="right"/>
                              <w:rPr>
                                <w:rFonts w:ascii="Arial" w:hAnsi="Arial" w:cs="Arial"/>
                                <w:sz w:val="16"/>
                              </w:rPr>
                            </w:pPr>
                          </w:p>
                        </w:tc>
                        <w:tc>
                          <w:tcPr>
                            <w:tcW w:w="706" w:type="dxa"/>
                            <w:tcBorders>
                              <w:right w:val="nil"/>
                            </w:tcBorders>
                            <w:tcMar>
                              <w:top w:w="57" w:type="dxa"/>
                              <w:left w:w="28" w:type="dxa"/>
                              <w:bottom w:w="57" w:type="dxa"/>
                              <w:right w:w="28" w:type="dxa"/>
                            </w:tcMar>
                            <w:vAlign w:val="center"/>
                          </w:tcPr>
                          <w:p w:rsidR="001712A9" w:rsidRDefault="001712A9">
                            <w:pPr>
                              <w:jc w:val="right"/>
                              <w:rPr>
                                <w:rFonts w:ascii="Arial" w:hAnsi="Arial" w:cs="Arial"/>
                                <w:sz w:val="16"/>
                              </w:rPr>
                            </w:pPr>
                          </w:p>
                        </w:tc>
                      </w:tr>
                      <w:tr w:rsidR="001712A9">
                        <w:tc>
                          <w:tcPr>
                            <w:tcW w:w="1622" w:type="dxa"/>
                            <w:tcBorders>
                              <w:left w:val="nil"/>
                            </w:tcBorders>
                            <w:tcMar>
                              <w:top w:w="57" w:type="dxa"/>
                              <w:left w:w="28" w:type="dxa"/>
                              <w:bottom w:w="57" w:type="dxa"/>
                              <w:right w:w="28" w:type="dxa"/>
                            </w:tcMar>
                            <w:vAlign w:val="center"/>
                          </w:tcPr>
                          <w:p w:rsidR="001712A9" w:rsidRDefault="001712A9">
                            <w:pPr>
                              <w:rPr>
                                <w:rFonts w:ascii="Arial" w:hAnsi="Arial" w:cs="Arial"/>
                                <w:sz w:val="16"/>
                              </w:rPr>
                            </w:pPr>
                            <w:r>
                              <w:rPr>
                                <w:rFonts w:ascii="Arial" w:hAnsi="Arial" w:cs="Arial"/>
                                <w:sz w:val="16"/>
                              </w:rPr>
                              <w:t>Scots pine</w:t>
                            </w:r>
                          </w:p>
                        </w:tc>
                        <w:tc>
                          <w:tcPr>
                            <w:tcW w:w="760" w:type="dxa"/>
                            <w:tcMar>
                              <w:top w:w="57" w:type="dxa"/>
                              <w:left w:w="28" w:type="dxa"/>
                              <w:bottom w:w="57" w:type="dxa"/>
                              <w:right w:w="28" w:type="dxa"/>
                            </w:tcMar>
                            <w:vAlign w:val="center"/>
                          </w:tcPr>
                          <w:p w:rsidR="001712A9" w:rsidRDefault="001712A9">
                            <w:pPr>
                              <w:tabs>
                                <w:tab w:val="left" w:pos="542"/>
                              </w:tabs>
                              <w:ind w:right="54"/>
                              <w:jc w:val="right"/>
                              <w:rPr>
                                <w:rFonts w:ascii="Arial" w:hAnsi="Arial" w:cs="Arial"/>
                                <w:sz w:val="16"/>
                              </w:rPr>
                            </w:pPr>
                            <w:r>
                              <w:rPr>
                                <w:rFonts w:ascii="Arial" w:hAnsi="Arial" w:cs="Arial"/>
                                <w:sz w:val="16"/>
                              </w:rPr>
                              <w:t>2.2</w:t>
                            </w:r>
                          </w:p>
                        </w:tc>
                        <w:tc>
                          <w:tcPr>
                            <w:tcW w:w="780" w:type="dxa"/>
                            <w:tcMar>
                              <w:top w:w="57" w:type="dxa"/>
                              <w:left w:w="28" w:type="dxa"/>
                              <w:bottom w:w="57" w:type="dxa"/>
                              <w:right w:w="28" w:type="dxa"/>
                            </w:tcMar>
                            <w:vAlign w:val="center"/>
                          </w:tcPr>
                          <w:p w:rsidR="001712A9" w:rsidRDefault="001712A9">
                            <w:pPr>
                              <w:ind w:right="98"/>
                              <w:jc w:val="right"/>
                              <w:rPr>
                                <w:rFonts w:ascii="Arial" w:hAnsi="Arial" w:cs="Arial"/>
                                <w:sz w:val="16"/>
                              </w:rPr>
                            </w:pPr>
                          </w:p>
                        </w:tc>
                        <w:tc>
                          <w:tcPr>
                            <w:tcW w:w="706" w:type="dxa"/>
                            <w:tcMar>
                              <w:top w:w="57" w:type="dxa"/>
                              <w:left w:w="28" w:type="dxa"/>
                              <w:bottom w:w="57" w:type="dxa"/>
                              <w:right w:w="28" w:type="dxa"/>
                            </w:tcMar>
                            <w:vAlign w:val="center"/>
                          </w:tcPr>
                          <w:p w:rsidR="001712A9" w:rsidRDefault="001712A9">
                            <w:pPr>
                              <w:jc w:val="right"/>
                              <w:rPr>
                                <w:rFonts w:ascii="Arial" w:hAnsi="Arial" w:cs="Arial"/>
                                <w:sz w:val="16"/>
                              </w:rPr>
                            </w:pPr>
                          </w:p>
                        </w:tc>
                        <w:tc>
                          <w:tcPr>
                            <w:tcW w:w="888" w:type="dxa"/>
                            <w:tcMar>
                              <w:top w:w="57" w:type="dxa"/>
                              <w:left w:w="28" w:type="dxa"/>
                              <w:bottom w:w="57" w:type="dxa"/>
                              <w:right w:w="28" w:type="dxa"/>
                            </w:tcMar>
                            <w:vAlign w:val="center"/>
                          </w:tcPr>
                          <w:p w:rsidR="001712A9" w:rsidRDefault="001712A9">
                            <w:pPr>
                              <w:ind w:right="182"/>
                              <w:jc w:val="right"/>
                              <w:rPr>
                                <w:rFonts w:ascii="Arial" w:hAnsi="Arial" w:cs="Arial"/>
                                <w:sz w:val="16"/>
                              </w:rPr>
                            </w:pPr>
                          </w:p>
                        </w:tc>
                        <w:tc>
                          <w:tcPr>
                            <w:tcW w:w="706" w:type="dxa"/>
                            <w:tcMar>
                              <w:top w:w="57" w:type="dxa"/>
                              <w:left w:w="28" w:type="dxa"/>
                              <w:bottom w:w="57" w:type="dxa"/>
                              <w:right w:w="28" w:type="dxa"/>
                            </w:tcMar>
                            <w:vAlign w:val="center"/>
                          </w:tcPr>
                          <w:p w:rsidR="001712A9" w:rsidRDefault="001712A9">
                            <w:pPr>
                              <w:jc w:val="right"/>
                              <w:rPr>
                                <w:rFonts w:ascii="Arial" w:hAnsi="Arial" w:cs="Arial"/>
                                <w:sz w:val="16"/>
                              </w:rPr>
                            </w:pPr>
                          </w:p>
                        </w:tc>
                        <w:tc>
                          <w:tcPr>
                            <w:tcW w:w="706" w:type="dxa"/>
                            <w:tcBorders>
                              <w:right w:val="nil"/>
                            </w:tcBorders>
                            <w:tcMar>
                              <w:top w:w="57" w:type="dxa"/>
                              <w:left w:w="28" w:type="dxa"/>
                              <w:bottom w:w="57" w:type="dxa"/>
                              <w:right w:w="28" w:type="dxa"/>
                            </w:tcMar>
                            <w:vAlign w:val="center"/>
                          </w:tcPr>
                          <w:p w:rsidR="001712A9" w:rsidRDefault="001712A9">
                            <w:pPr>
                              <w:jc w:val="right"/>
                              <w:rPr>
                                <w:rFonts w:ascii="Arial" w:hAnsi="Arial" w:cs="Arial"/>
                                <w:sz w:val="16"/>
                              </w:rPr>
                            </w:pPr>
                            <w:r>
                              <w:rPr>
                                <w:rFonts w:ascii="Arial" w:hAnsi="Arial" w:cs="Arial"/>
                                <w:sz w:val="16"/>
                              </w:rPr>
                              <w:t>24.1</w:t>
                            </w:r>
                          </w:p>
                        </w:tc>
                      </w:tr>
                      <w:tr w:rsidR="001712A9">
                        <w:tc>
                          <w:tcPr>
                            <w:tcW w:w="1622" w:type="dxa"/>
                            <w:tcBorders>
                              <w:left w:val="nil"/>
                            </w:tcBorders>
                            <w:tcMar>
                              <w:top w:w="57" w:type="dxa"/>
                              <w:left w:w="28" w:type="dxa"/>
                              <w:bottom w:w="57" w:type="dxa"/>
                              <w:right w:w="28" w:type="dxa"/>
                            </w:tcMar>
                            <w:vAlign w:val="center"/>
                          </w:tcPr>
                          <w:p w:rsidR="001712A9" w:rsidRDefault="001712A9">
                            <w:pPr>
                              <w:rPr>
                                <w:rFonts w:ascii="Arial" w:hAnsi="Arial" w:cs="Arial"/>
                                <w:sz w:val="16"/>
                              </w:rPr>
                            </w:pPr>
                            <w:r>
                              <w:rPr>
                                <w:rFonts w:ascii="Arial" w:hAnsi="Arial" w:cs="Arial"/>
                                <w:sz w:val="16"/>
                              </w:rPr>
                              <w:t>European Larch</w:t>
                            </w:r>
                          </w:p>
                        </w:tc>
                        <w:tc>
                          <w:tcPr>
                            <w:tcW w:w="760" w:type="dxa"/>
                            <w:tcMar>
                              <w:top w:w="57" w:type="dxa"/>
                              <w:left w:w="28" w:type="dxa"/>
                              <w:bottom w:w="57" w:type="dxa"/>
                              <w:right w:w="28" w:type="dxa"/>
                            </w:tcMar>
                            <w:vAlign w:val="center"/>
                          </w:tcPr>
                          <w:p w:rsidR="001712A9" w:rsidRDefault="001712A9">
                            <w:pPr>
                              <w:tabs>
                                <w:tab w:val="left" w:pos="542"/>
                              </w:tabs>
                              <w:ind w:right="54"/>
                              <w:jc w:val="right"/>
                              <w:rPr>
                                <w:rFonts w:ascii="Arial" w:hAnsi="Arial" w:cs="Arial"/>
                                <w:sz w:val="16"/>
                              </w:rPr>
                            </w:pPr>
                          </w:p>
                        </w:tc>
                        <w:tc>
                          <w:tcPr>
                            <w:tcW w:w="780" w:type="dxa"/>
                            <w:tcMar>
                              <w:top w:w="57" w:type="dxa"/>
                              <w:left w:w="28" w:type="dxa"/>
                              <w:bottom w:w="57" w:type="dxa"/>
                              <w:right w:w="28" w:type="dxa"/>
                            </w:tcMar>
                            <w:vAlign w:val="center"/>
                          </w:tcPr>
                          <w:p w:rsidR="001712A9" w:rsidRDefault="001712A9">
                            <w:pPr>
                              <w:ind w:right="98"/>
                              <w:jc w:val="right"/>
                              <w:rPr>
                                <w:rFonts w:ascii="Arial" w:hAnsi="Arial" w:cs="Arial"/>
                                <w:sz w:val="16"/>
                              </w:rPr>
                            </w:pPr>
                          </w:p>
                        </w:tc>
                        <w:tc>
                          <w:tcPr>
                            <w:tcW w:w="706" w:type="dxa"/>
                            <w:tcMar>
                              <w:top w:w="57" w:type="dxa"/>
                              <w:left w:w="28" w:type="dxa"/>
                              <w:bottom w:w="57" w:type="dxa"/>
                              <w:right w:w="28" w:type="dxa"/>
                            </w:tcMar>
                            <w:vAlign w:val="center"/>
                          </w:tcPr>
                          <w:p w:rsidR="001712A9" w:rsidRDefault="001712A9">
                            <w:pPr>
                              <w:jc w:val="right"/>
                              <w:rPr>
                                <w:rFonts w:ascii="Arial" w:hAnsi="Arial" w:cs="Arial"/>
                                <w:sz w:val="16"/>
                              </w:rPr>
                            </w:pPr>
                          </w:p>
                        </w:tc>
                        <w:tc>
                          <w:tcPr>
                            <w:tcW w:w="888" w:type="dxa"/>
                            <w:tcMar>
                              <w:top w:w="57" w:type="dxa"/>
                              <w:left w:w="28" w:type="dxa"/>
                              <w:bottom w:w="57" w:type="dxa"/>
                              <w:right w:w="28" w:type="dxa"/>
                            </w:tcMar>
                            <w:vAlign w:val="center"/>
                          </w:tcPr>
                          <w:p w:rsidR="001712A9" w:rsidRDefault="001712A9">
                            <w:pPr>
                              <w:ind w:right="182"/>
                              <w:jc w:val="right"/>
                              <w:rPr>
                                <w:rFonts w:ascii="Arial" w:hAnsi="Arial" w:cs="Arial"/>
                                <w:sz w:val="16"/>
                              </w:rPr>
                            </w:pPr>
                          </w:p>
                        </w:tc>
                        <w:tc>
                          <w:tcPr>
                            <w:tcW w:w="706" w:type="dxa"/>
                            <w:tcMar>
                              <w:top w:w="57" w:type="dxa"/>
                              <w:left w:w="28" w:type="dxa"/>
                              <w:bottom w:w="57" w:type="dxa"/>
                              <w:right w:w="28" w:type="dxa"/>
                            </w:tcMar>
                            <w:vAlign w:val="center"/>
                          </w:tcPr>
                          <w:p w:rsidR="001712A9" w:rsidRDefault="001712A9">
                            <w:pPr>
                              <w:jc w:val="right"/>
                              <w:rPr>
                                <w:rFonts w:ascii="Arial" w:hAnsi="Arial" w:cs="Arial"/>
                                <w:sz w:val="16"/>
                              </w:rPr>
                            </w:pPr>
                            <w:r>
                              <w:rPr>
                                <w:rFonts w:ascii="Arial" w:hAnsi="Arial" w:cs="Arial"/>
                                <w:sz w:val="16"/>
                              </w:rPr>
                              <w:t>2.0</w:t>
                            </w:r>
                          </w:p>
                        </w:tc>
                        <w:tc>
                          <w:tcPr>
                            <w:tcW w:w="706" w:type="dxa"/>
                            <w:tcBorders>
                              <w:right w:val="nil"/>
                            </w:tcBorders>
                            <w:tcMar>
                              <w:top w:w="57" w:type="dxa"/>
                              <w:left w:w="28" w:type="dxa"/>
                              <w:bottom w:w="57" w:type="dxa"/>
                              <w:right w:w="28" w:type="dxa"/>
                            </w:tcMar>
                            <w:vAlign w:val="center"/>
                          </w:tcPr>
                          <w:p w:rsidR="001712A9" w:rsidRDefault="001712A9">
                            <w:pPr>
                              <w:jc w:val="right"/>
                              <w:rPr>
                                <w:rFonts w:ascii="Arial" w:hAnsi="Arial" w:cs="Arial"/>
                                <w:sz w:val="16"/>
                              </w:rPr>
                            </w:pPr>
                          </w:p>
                        </w:tc>
                      </w:tr>
                      <w:tr w:rsidR="001712A9">
                        <w:tc>
                          <w:tcPr>
                            <w:tcW w:w="1622" w:type="dxa"/>
                            <w:tcBorders>
                              <w:left w:val="nil"/>
                            </w:tcBorders>
                            <w:tcMar>
                              <w:top w:w="57" w:type="dxa"/>
                              <w:left w:w="28" w:type="dxa"/>
                              <w:bottom w:w="57" w:type="dxa"/>
                              <w:right w:w="28" w:type="dxa"/>
                            </w:tcMar>
                            <w:vAlign w:val="center"/>
                          </w:tcPr>
                          <w:p w:rsidR="001712A9" w:rsidRDefault="001712A9">
                            <w:pPr>
                              <w:rPr>
                                <w:rFonts w:ascii="Arial" w:hAnsi="Arial" w:cs="Arial"/>
                                <w:sz w:val="16"/>
                              </w:rPr>
                            </w:pPr>
                            <w:r>
                              <w:rPr>
                                <w:rFonts w:ascii="Arial" w:hAnsi="Arial" w:cs="Arial"/>
                                <w:sz w:val="16"/>
                              </w:rPr>
                              <w:t>Beech</w:t>
                            </w:r>
                          </w:p>
                        </w:tc>
                        <w:tc>
                          <w:tcPr>
                            <w:tcW w:w="760" w:type="dxa"/>
                            <w:tcMar>
                              <w:top w:w="57" w:type="dxa"/>
                              <w:left w:w="28" w:type="dxa"/>
                              <w:bottom w:w="57" w:type="dxa"/>
                              <w:right w:w="28" w:type="dxa"/>
                            </w:tcMar>
                            <w:vAlign w:val="center"/>
                          </w:tcPr>
                          <w:p w:rsidR="001712A9" w:rsidRDefault="001712A9">
                            <w:pPr>
                              <w:tabs>
                                <w:tab w:val="left" w:pos="542"/>
                              </w:tabs>
                              <w:ind w:right="54"/>
                              <w:jc w:val="right"/>
                              <w:rPr>
                                <w:rFonts w:ascii="Arial" w:hAnsi="Arial" w:cs="Arial"/>
                                <w:sz w:val="16"/>
                              </w:rPr>
                            </w:pPr>
                            <w:r>
                              <w:rPr>
                                <w:rFonts w:ascii="Arial" w:hAnsi="Arial" w:cs="Arial"/>
                                <w:sz w:val="16"/>
                              </w:rPr>
                              <w:t>1.2</w:t>
                            </w:r>
                          </w:p>
                        </w:tc>
                        <w:tc>
                          <w:tcPr>
                            <w:tcW w:w="780" w:type="dxa"/>
                            <w:tcMar>
                              <w:top w:w="57" w:type="dxa"/>
                              <w:left w:w="28" w:type="dxa"/>
                              <w:bottom w:w="57" w:type="dxa"/>
                              <w:right w:w="28" w:type="dxa"/>
                            </w:tcMar>
                            <w:vAlign w:val="center"/>
                          </w:tcPr>
                          <w:p w:rsidR="001712A9" w:rsidRDefault="001712A9">
                            <w:pPr>
                              <w:ind w:right="98"/>
                              <w:jc w:val="right"/>
                              <w:rPr>
                                <w:rFonts w:ascii="Arial" w:hAnsi="Arial" w:cs="Arial"/>
                                <w:sz w:val="16"/>
                              </w:rPr>
                            </w:pPr>
                          </w:p>
                        </w:tc>
                        <w:tc>
                          <w:tcPr>
                            <w:tcW w:w="706" w:type="dxa"/>
                            <w:tcMar>
                              <w:top w:w="57" w:type="dxa"/>
                              <w:left w:w="28" w:type="dxa"/>
                              <w:bottom w:w="57" w:type="dxa"/>
                              <w:right w:w="28" w:type="dxa"/>
                            </w:tcMar>
                            <w:vAlign w:val="center"/>
                          </w:tcPr>
                          <w:p w:rsidR="001712A9" w:rsidRDefault="001712A9">
                            <w:pPr>
                              <w:jc w:val="right"/>
                              <w:rPr>
                                <w:rFonts w:ascii="Arial" w:hAnsi="Arial" w:cs="Arial"/>
                                <w:sz w:val="16"/>
                              </w:rPr>
                            </w:pPr>
                          </w:p>
                        </w:tc>
                        <w:tc>
                          <w:tcPr>
                            <w:tcW w:w="888" w:type="dxa"/>
                            <w:tcMar>
                              <w:top w:w="57" w:type="dxa"/>
                              <w:left w:w="28" w:type="dxa"/>
                              <w:bottom w:w="57" w:type="dxa"/>
                              <w:right w:w="28" w:type="dxa"/>
                            </w:tcMar>
                            <w:vAlign w:val="center"/>
                          </w:tcPr>
                          <w:p w:rsidR="001712A9" w:rsidRDefault="001712A9">
                            <w:pPr>
                              <w:ind w:right="182"/>
                              <w:jc w:val="right"/>
                              <w:rPr>
                                <w:rFonts w:ascii="Arial" w:hAnsi="Arial" w:cs="Arial"/>
                                <w:sz w:val="16"/>
                              </w:rPr>
                            </w:pPr>
                            <w:r>
                              <w:rPr>
                                <w:rFonts w:ascii="Arial" w:hAnsi="Arial" w:cs="Arial"/>
                                <w:sz w:val="16"/>
                              </w:rPr>
                              <w:t>3.0</w:t>
                            </w:r>
                          </w:p>
                        </w:tc>
                        <w:tc>
                          <w:tcPr>
                            <w:tcW w:w="706" w:type="dxa"/>
                            <w:tcMar>
                              <w:top w:w="57" w:type="dxa"/>
                              <w:left w:w="28" w:type="dxa"/>
                              <w:bottom w:w="57" w:type="dxa"/>
                              <w:right w:w="28" w:type="dxa"/>
                            </w:tcMar>
                            <w:vAlign w:val="center"/>
                          </w:tcPr>
                          <w:p w:rsidR="001712A9" w:rsidRDefault="001712A9">
                            <w:pPr>
                              <w:jc w:val="right"/>
                              <w:rPr>
                                <w:rFonts w:ascii="Arial" w:hAnsi="Arial" w:cs="Arial"/>
                                <w:sz w:val="16"/>
                              </w:rPr>
                            </w:pPr>
                          </w:p>
                        </w:tc>
                        <w:tc>
                          <w:tcPr>
                            <w:tcW w:w="706" w:type="dxa"/>
                            <w:tcBorders>
                              <w:right w:val="nil"/>
                            </w:tcBorders>
                            <w:tcMar>
                              <w:top w:w="57" w:type="dxa"/>
                              <w:left w:w="28" w:type="dxa"/>
                              <w:bottom w:w="57" w:type="dxa"/>
                              <w:right w:w="28" w:type="dxa"/>
                            </w:tcMar>
                            <w:vAlign w:val="center"/>
                          </w:tcPr>
                          <w:p w:rsidR="001712A9" w:rsidRDefault="001712A9">
                            <w:pPr>
                              <w:jc w:val="right"/>
                              <w:rPr>
                                <w:rFonts w:ascii="Arial" w:hAnsi="Arial" w:cs="Arial"/>
                                <w:sz w:val="16"/>
                              </w:rPr>
                            </w:pPr>
                            <w:r>
                              <w:rPr>
                                <w:rFonts w:ascii="Arial" w:hAnsi="Arial" w:cs="Arial"/>
                                <w:sz w:val="16"/>
                              </w:rPr>
                              <w:t>13.7</w:t>
                            </w:r>
                          </w:p>
                        </w:tc>
                      </w:tr>
                      <w:tr w:rsidR="001712A9">
                        <w:tc>
                          <w:tcPr>
                            <w:tcW w:w="1622" w:type="dxa"/>
                            <w:tcBorders>
                              <w:left w:val="nil"/>
                            </w:tcBorders>
                            <w:tcMar>
                              <w:top w:w="57" w:type="dxa"/>
                              <w:left w:w="28" w:type="dxa"/>
                              <w:bottom w:w="57" w:type="dxa"/>
                              <w:right w:w="28" w:type="dxa"/>
                            </w:tcMar>
                            <w:vAlign w:val="center"/>
                          </w:tcPr>
                          <w:p w:rsidR="001712A9" w:rsidRDefault="001712A9">
                            <w:pPr>
                              <w:rPr>
                                <w:rFonts w:ascii="Arial" w:hAnsi="Arial" w:cs="Arial"/>
                                <w:sz w:val="16"/>
                              </w:rPr>
                            </w:pPr>
                            <w:proofErr w:type="spellStart"/>
                            <w:r>
                              <w:rPr>
                                <w:rFonts w:ascii="Arial" w:hAnsi="Arial" w:cs="Arial"/>
                                <w:sz w:val="16"/>
                              </w:rPr>
                              <w:t>Lodgepole</w:t>
                            </w:r>
                            <w:proofErr w:type="spellEnd"/>
                            <w:r>
                              <w:rPr>
                                <w:rFonts w:ascii="Arial" w:hAnsi="Arial" w:cs="Arial"/>
                                <w:sz w:val="16"/>
                              </w:rPr>
                              <w:t xml:space="preserve"> pine </w:t>
                            </w:r>
                          </w:p>
                        </w:tc>
                        <w:tc>
                          <w:tcPr>
                            <w:tcW w:w="760" w:type="dxa"/>
                            <w:tcMar>
                              <w:top w:w="57" w:type="dxa"/>
                              <w:left w:w="28" w:type="dxa"/>
                              <w:bottom w:w="57" w:type="dxa"/>
                              <w:right w:w="28" w:type="dxa"/>
                            </w:tcMar>
                            <w:vAlign w:val="center"/>
                          </w:tcPr>
                          <w:p w:rsidR="001712A9" w:rsidRDefault="001712A9">
                            <w:pPr>
                              <w:tabs>
                                <w:tab w:val="left" w:pos="542"/>
                              </w:tabs>
                              <w:ind w:right="54"/>
                              <w:jc w:val="right"/>
                              <w:rPr>
                                <w:rFonts w:ascii="Arial" w:hAnsi="Arial" w:cs="Arial"/>
                                <w:sz w:val="16"/>
                              </w:rPr>
                            </w:pPr>
                          </w:p>
                        </w:tc>
                        <w:tc>
                          <w:tcPr>
                            <w:tcW w:w="780" w:type="dxa"/>
                            <w:tcMar>
                              <w:top w:w="57" w:type="dxa"/>
                              <w:left w:w="28" w:type="dxa"/>
                              <w:bottom w:w="57" w:type="dxa"/>
                              <w:right w:w="28" w:type="dxa"/>
                            </w:tcMar>
                            <w:vAlign w:val="center"/>
                          </w:tcPr>
                          <w:p w:rsidR="001712A9" w:rsidRDefault="001712A9">
                            <w:pPr>
                              <w:ind w:right="98"/>
                              <w:jc w:val="right"/>
                              <w:rPr>
                                <w:rFonts w:ascii="Arial" w:hAnsi="Arial" w:cs="Arial"/>
                                <w:sz w:val="16"/>
                              </w:rPr>
                            </w:pPr>
                          </w:p>
                        </w:tc>
                        <w:tc>
                          <w:tcPr>
                            <w:tcW w:w="706" w:type="dxa"/>
                            <w:tcMar>
                              <w:top w:w="57" w:type="dxa"/>
                              <w:left w:w="28" w:type="dxa"/>
                              <w:bottom w:w="57" w:type="dxa"/>
                              <w:right w:w="28" w:type="dxa"/>
                            </w:tcMar>
                            <w:vAlign w:val="center"/>
                          </w:tcPr>
                          <w:p w:rsidR="001712A9" w:rsidRDefault="001712A9">
                            <w:pPr>
                              <w:jc w:val="right"/>
                              <w:rPr>
                                <w:rFonts w:ascii="Arial" w:hAnsi="Arial" w:cs="Arial"/>
                                <w:sz w:val="16"/>
                              </w:rPr>
                            </w:pPr>
                          </w:p>
                        </w:tc>
                        <w:tc>
                          <w:tcPr>
                            <w:tcW w:w="888" w:type="dxa"/>
                            <w:tcMar>
                              <w:top w:w="57" w:type="dxa"/>
                              <w:left w:w="28" w:type="dxa"/>
                              <w:bottom w:w="57" w:type="dxa"/>
                              <w:right w:w="28" w:type="dxa"/>
                            </w:tcMar>
                            <w:vAlign w:val="center"/>
                          </w:tcPr>
                          <w:p w:rsidR="001712A9" w:rsidRDefault="001712A9">
                            <w:pPr>
                              <w:ind w:right="182"/>
                              <w:jc w:val="right"/>
                              <w:rPr>
                                <w:rFonts w:ascii="Arial" w:hAnsi="Arial" w:cs="Arial"/>
                                <w:sz w:val="16"/>
                              </w:rPr>
                            </w:pPr>
                            <w:r>
                              <w:rPr>
                                <w:rFonts w:ascii="Arial" w:hAnsi="Arial" w:cs="Arial"/>
                                <w:sz w:val="16"/>
                              </w:rPr>
                              <w:t>5.6</w:t>
                            </w:r>
                          </w:p>
                        </w:tc>
                        <w:tc>
                          <w:tcPr>
                            <w:tcW w:w="706" w:type="dxa"/>
                            <w:tcMar>
                              <w:top w:w="57" w:type="dxa"/>
                              <w:left w:w="28" w:type="dxa"/>
                              <w:bottom w:w="57" w:type="dxa"/>
                              <w:right w:w="28" w:type="dxa"/>
                            </w:tcMar>
                            <w:vAlign w:val="center"/>
                          </w:tcPr>
                          <w:p w:rsidR="001712A9" w:rsidRDefault="001712A9">
                            <w:pPr>
                              <w:jc w:val="right"/>
                              <w:rPr>
                                <w:rFonts w:ascii="Arial" w:hAnsi="Arial" w:cs="Arial"/>
                                <w:sz w:val="16"/>
                              </w:rPr>
                            </w:pPr>
                            <w:r>
                              <w:rPr>
                                <w:rFonts w:ascii="Arial" w:hAnsi="Arial" w:cs="Arial"/>
                                <w:sz w:val="16"/>
                              </w:rPr>
                              <w:t>3.8</w:t>
                            </w:r>
                          </w:p>
                        </w:tc>
                        <w:tc>
                          <w:tcPr>
                            <w:tcW w:w="706" w:type="dxa"/>
                            <w:tcBorders>
                              <w:right w:val="nil"/>
                            </w:tcBorders>
                            <w:tcMar>
                              <w:top w:w="57" w:type="dxa"/>
                              <w:left w:w="28" w:type="dxa"/>
                              <w:bottom w:w="57" w:type="dxa"/>
                              <w:right w:w="28" w:type="dxa"/>
                            </w:tcMar>
                            <w:vAlign w:val="center"/>
                          </w:tcPr>
                          <w:p w:rsidR="001712A9" w:rsidRDefault="001712A9">
                            <w:pPr>
                              <w:jc w:val="right"/>
                              <w:rPr>
                                <w:rFonts w:ascii="Arial" w:hAnsi="Arial" w:cs="Arial"/>
                                <w:sz w:val="16"/>
                              </w:rPr>
                            </w:pPr>
                          </w:p>
                        </w:tc>
                      </w:tr>
                      <w:tr w:rsidR="001712A9">
                        <w:tc>
                          <w:tcPr>
                            <w:tcW w:w="1622" w:type="dxa"/>
                            <w:tcBorders>
                              <w:left w:val="nil"/>
                            </w:tcBorders>
                            <w:tcMar>
                              <w:top w:w="57" w:type="dxa"/>
                              <w:left w:w="28" w:type="dxa"/>
                              <w:bottom w:w="57" w:type="dxa"/>
                              <w:right w:w="28" w:type="dxa"/>
                            </w:tcMar>
                            <w:vAlign w:val="center"/>
                          </w:tcPr>
                          <w:p w:rsidR="001712A9" w:rsidRDefault="001712A9">
                            <w:pPr>
                              <w:rPr>
                                <w:rFonts w:ascii="Arial" w:hAnsi="Arial" w:cs="Arial"/>
                                <w:sz w:val="16"/>
                              </w:rPr>
                            </w:pPr>
                            <w:r>
                              <w:rPr>
                                <w:rFonts w:ascii="Arial" w:hAnsi="Arial" w:cs="Arial"/>
                                <w:sz w:val="16"/>
                              </w:rPr>
                              <w:t>Common Alder</w:t>
                            </w:r>
                          </w:p>
                        </w:tc>
                        <w:tc>
                          <w:tcPr>
                            <w:tcW w:w="760" w:type="dxa"/>
                            <w:tcMar>
                              <w:top w:w="57" w:type="dxa"/>
                              <w:left w:w="28" w:type="dxa"/>
                              <w:bottom w:w="57" w:type="dxa"/>
                              <w:right w:w="28" w:type="dxa"/>
                            </w:tcMar>
                            <w:vAlign w:val="center"/>
                          </w:tcPr>
                          <w:p w:rsidR="001712A9" w:rsidRDefault="001712A9">
                            <w:pPr>
                              <w:tabs>
                                <w:tab w:val="left" w:pos="542"/>
                              </w:tabs>
                              <w:ind w:right="54"/>
                              <w:jc w:val="right"/>
                              <w:rPr>
                                <w:rFonts w:ascii="Arial" w:hAnsi="Arial" w:cs="Arial"/>
                                <w:sz w:val="16"/>
                              </w:rPr>
                            </w:pPr>
                          </w:p>
                        </w:tc>
                        <w:tc>
                          <w:tcPr>
                            <w:tcW w:w="780" w:type="dxa"/>
                            <w:tcMar>
                              <w:top w:w="57" w:type="dxa"/>
                              <w:left w:w="28" w:type="dxa"/>
                              <w:bottom w:w="57" w:type="dxa"/>
                              <w:right w:w="28" w:type="dxa"/>
                            </w:tcMar>
                            <w:vAlign w:val="center"/>
                          </w:tcPr>
                          <w:p w:rsidR="001712A9" w:rsidRDefault="001712A9">
                            <w:pPr>
                              <w:ind w:right="98"/>
                              <w:jc w:val="right"/>
                              <w:rPr>
                                <w:rFonts w:ascii="Arial" w:hAnsi="Arial" w:cs="Arial"/>
                                <w:sz w:val="16"/>
                              </w:rPr>
                            </w:pPr>
                          </w:p>
                        </w:tc>
                        <w:tc>
                          <w:tcPr>
                            <w:tcW w:w="706" w:type="dxa"/>
                            <w:tcMar>
                              <w:top w:w="57" w:type="dxa"/>
                              <w:left w:w="28" w:type="dxa"/>
                              <w:bottom w:w="57" w:type="dxa"/>
                              <w:right w:w="28" w:type="dxa"/>
                            </w:tcMar>
                            <w:vAlign w:val="center"/>
                          </w:tcPr>
                          <w:p w:rsidR="001712A9" w:rsidRDefault="001712A9">
                            <w:pPr>
                              <w:jc w:val="right"/>
                              <w:rPr>
                                <w:rFonts w:ascii="Arial" w:hAnsi="Arial" w:cs="Arial"/>
                                <w:sz w:val="16"/>
                              </w:rPr>
                            </w:pPr>
                          </w:p>
                        </w:tc>
                        <w:tc>
                          <w:tcPr>
                            <w:tcW w:w="888" w:type="dxa"/>
                            <w:tcMar>
                              <w:top w:w="57" w:type="dxa"/>
                              <w:left w:w="28" w:type="dxa"/>
                              <w:bottom w:w="57" w:type="dxa"/>
                              <w:right w:w="28" w:type="dxa"/>
                            </w:tcMar>
                            <w:vAlign w:val="center"/>
                          </w:tcPr>
                          <w:p w:rsidR="001712A9" w:rsidRDefault="001712A9">
                            <w:pPr>
                              <w:ind w:right="182"/>
                              <w:jc w:val="right"/>
                              <w:rPr>
                                <w:rFonts w:ascii="Arial" w:hAnsi="Arial" w:cs="Arial"/>
                                <w:sz w:val="16"/>
                              </w:rPr>
                            </w:pPr>
                          </w:p>
                        </w:tc>
                        <w:tc>
                          <w:tcPr>
                            <w:tcW w:w="706" w:type="dxa"/>
                            <w:tcMar>
                              <w:top w:w="57" w:type="dxa"/>
                              <w:left w:w="28" w:type="dxa"/>
                              <w:bottom w:w="57" w:type="dxa"/>
                              <w:right w:w="28" w:type="dxa"/>
                            </w:tcMar>
                            <w:vAlign w:val="center"/>
                          </w:tcPr>
                          <w:p w:rsidR="001712A9" w:rsidRDefault="001712A9">
                            <w:pPr>
                              <w:jc w:val="right"/>
                              <w:rPr>
                                <w:rFonts w:ascii="Arial" w:hAnsi="Arial" w:cs="Arial"/>
                                <w:sz w:val="16"/>
                              </w:rPr>
                            </w:pPr>
                          </w:p>
                        </w:tc>
                        <w:tc>
                          <w:tcPr>
                            <w:tcW w:w="706" w:type="dxa"/>
                            <w:tcBorders>
                              <w:right w:val="nil"/>
                            </w:tcBorders>
                            <w:tcMar>
                              <w:top w:w="57" w:type="dxa"/>
                              <w:left w:w="28" w:type="dxa"/>
                              <w:bottom w:w="57" w:type="dxa"/>
                              <w:right w:w="28" w:type="dxa"/>
                            </w:tcMar>
                            <w:vAlign w:val="center"/>
                          </w:tcPr>
                          <w:p w:rsidR="001712A9" w:rsidRDefault="001712A9">
                            <w:pPr>
                              <w:jc w:val="right"/>
                              <w:rPr>
                                <w:rFonts w:ascii="Arial" w:hAnsi="Arial" w:cs="Arial"/>
                                <w:sz w:val="16"/>
                              </w:rPr>
                            </w:pPr>
                            <w:r>
                              <w:rPr>
                                <w:rFonts w:ascii="Arial" w:hAnsi="Arial" w:cs="Arial"/>
                                <w:sz w:val="16"/>
                              </w:rPr>
                              <w:t>6.7</w:t>
                            </w:r>
                          </w:p>
                        </w:tc>
                      </w:tr>
                      <w:tr w:rsidR="001712A9">
                        <w:tc>
                          <w:tcPr>
                            <w:tcW w:w="1622" w:type="dxa"/>
                            <w:tcBorders>
                              <w:left w:val="nil"/>
                            </w:tcBorders>
                            <w:tcMar>
                              <w:top w:w="57" w:type="dxa"/>
                              <w:left w:w="28" w:type="dxa"/>
                              <w:bottom w:w="57" w:type="dxa"/>
                              <w:right w:w="28" w:type="dxa"/>
                            </w:tcMar>
                            <w:vAlign w:val="center"/>
                          </w:tcPr>
                          <w:p w:rsidR="001712A9" w:rsidRDefault="001712A9">
                            <w:pPr>
                              <w:rPr>
                                <w:rFonts w:ascii="Arial" w:hAnsi="Arial" w:cs="Arial"/>
                                <w:b/>
                                <w:sz w:val="16"/>
                              </w:rPr>
                            </w:pPr>
                            <w:r>
                              <w:rPr>
                                <w:rFonts w:ascii="Arial" w:hAnsi="Arial" w:cs="Arial"/>
                                <w:b/>
                                <w:sz w:val="16"/>
                              </w:rPr>
                              <w:t>Totals</w:t>
                            </w:r>
                          </w:p>
                        </w:tc>
                        <w:tc>
                          <w:tcPr>
                            <w:tcW w:w="760" w:type="dxa"/>
                            <w:tcMar>
                              <w:top w:w="57" w:type="dxa"/>
                              <w:left w:w="28" w:type="dxa"/>
                              <w:bottom w:w="57" w:type="dxa"/>
                              <w:right w:w="28" w:type="dxa"/>
                            </w:tcMar>
                            <w:vAlign w:val="center"/>
                          </w:tcPr>
                          <w:p w:rsidR="001712A9" w:rsidRDefault="001712A9">
                            <w:pPr>
                              <w:tabs>
                                <w:tab w:val="left" w:pos="542"/>
                              </w:tabs>
                              <w:ind w:right="54"/>
                              <w:jc w:val="right"/>
                              <w:rPr>
                                <w:rFonts w:ascii="Arial" w:hAnsi="Arial" w:cs="Arial"/>
                                <w:sz w:val="16"/>
                              </w:rPr>
                            </w:pPr>
                            <w:r>
                              <w:rPr>
                                <w:rFonts w:ascii="Arial" w:hAnsi="Arial" w:cs="Arial"/>
                                <w:sz w:val="16"/>
                              </w:rPr>
                              <w:t>168.0</w:t>
                            </w:r>
                          </w:p>
                        </w:tc>
                        <w:tc>
                          <w:tcPr>
                            <w:tcW w:w="780" w:type="dxa"/>
                            <w:tcMar>
                              <w:top w:w="57" w:type="dxa"/>
                              <w:left w:w="28" w:type="dxa"/>
                              <w:bottom w:w="57" w:type="dxa"/>
                              <w:right w:w="28" w:type="dxa"/>
                            </w:tcMar>
                            <w:vAlign w:val="center"/>
                          </w:tcPr>
                          <w:p w:rsidR="001712A9" w:rsidRDefault="001712A9">
                            <w:pPr>
                              <w:ind w:right="98"/>
                              <w:jc w:val="right"/>
                              <w:rPr>
                                <w:rFonts w:ascii="Arial" w:hAnsi="Arial" w:cs="Arial"/>
                                <w:sz w:val="16"/>
                              </w:rPr>
                            </w:pPr>
                            <w:r>
                              <w:rPr>
                                <w:rFonts w:ascii="Arial" w:hAnsi="Arial" w:cs="Arial"/>
                                <w:sz w:val="16"/>
                              </w:rPr>
                              <w:t>397.1</w:t>
                            </w:r>
                          </w:p>
                        </w:tc>
                        <w:tc>
                          <w:tcPr>
                            <w:tcW w:w="706" w:type="dxa"/>
                            <w:tcMar>
                              <w:top w:w="57" w:type="dxa"/>
                              <w:left w:w="28" w:type="dxa"/>
                              <w:bottom w:w="57" w:type="dxa"/>
                              <w:right w:w="28" w:type="dxa"/>
                            </w:tcMar>
                            <w:vAlign w:val="center"/>
                          </w:tcPr>
                          <w:p w:rsidR="001712A9" w:rsidRDefault="001712A9">
                            <w:pPr>
                              <w:jc w:val="right"/>
                              <w:rPr>
                                <w:rFonts w:ascii="Arial" w:hAnsi="Arial" w:cs="Arial"/>
                                <w:sz w:val="16"/>
                              </w:rPr>
                            </w:pPr>
                            <w:r>
                              <w:rPr>
                                <w:rFonts w:ascii="Arial" w:hAnsi="Arial" w:cs="Arial"/>
                                <w:sz w:val="16"/>
                              </w:rPr>
                              <w:t>505.6</w:t>
                            </w:r>
                          </w:p>
                        </w:tc>
                        <w:tc>
                          <w:tcPr>
                            <w:tcW w:w="888" w:type="dxa"/>
                            <w:tcMar>
                              <w:top w:w="57" w:type="dxa"/>
                              <w:left w:w="28" w:type="dxa"/>
                              <w:bottom w:w="57" w:type="dxa"/>
                              <w:right w:w="28" w:type="dxa"/>
                            </w:tcMar>
                            <w:vAlign w:val="center"/>
                          </w:tcPr>
                          <w:p w:rsidR="001712A9" w:rsidRDefault="001712A9">
                            <w:pPr>
                              <w:ind w:right="182"/>
                              <w:jc w:val="right"/>
                              <w:rPr>
                                <w:rFonts w:ascii="Arial" w:hAnsi="Arial" w:cs="Arial"/>
                                <w:sz w:val="16"/>
                              </w:rPr>
                            </w:pPr>
                            <w:r>
                              <w:rPr>
                                <w:rFonts w:ascii="Arial" w:hAnsi="Arial" w:cs="Arial"/>
                                <w:sz w:val="16"/>
                              </w:rPr>
                              <w:t>586.4</w:t>
                            </w:r>
                          </w:p>
                        </w:tc>
                        <w:tc>
                          <w:tcPr>
                            <w:tcW w:w="706" w:type="dxa"/>
                            <w:tcMar>
                              <w:top w:w="57" w:type="dxa"/>
                              <w:left w:w="28" w:type="dxa"/>
                              <w:bottom w:w="57" w:type="dxa"/>
                              <w:right w:w="28" w:type="dxa"/>
                            </w:tcMar>
                            <w:vAlign w:val="center"/>
                          </w:tcPr>
                          <w:p w:rsidR="001712A9" w:rsidRDefault="001712A9">
                            <w:pPr>
                              <w:jc w:val="right"/>
                              <w:rPr>
                                <w:rFonts w:ascii="Arial" w:hAnsi="Arial" w:cs="Arial"/>
                                <w:sz w:val="16"/>
                              </w:rPr>
                            </w:pPr>
                            <w:r>
                              <w:rPr>
                                <w:rFonts w:ascii="Arial" w:hAnsi="Arial" w:cs="Arial"/>
                                <w:sz w:val="16"/>
                              </w:rPr>
                              <w:t>489.2</w:t>
                            </w:r>
                          </w:p>
                        </w:tc>
                        <w:tc>
                          <w:tcPr>
                            <w:tcW w:w="706" w:type="dxa"/>
                            <w:tcBorders>
                              <w:right w:val="nil"/>
                            </w:tcBorders>
                            <w:tcMar>
                              <w:top w:w="57" w:type="dxa"/>
                              <w:left w:w="28" w:type="dxa"/>
                              <w:bottom w:w="57" w:type="dxa"/>
                              <w:right w:w="28" w:type="dxa"/>
                            </w:tcMar>
                            <w:vAlign w:val="center"/>
                          </w:tcPr>
                          <w:p w:rsidR="001712A9" w:rsidRDefault="001712A9">
                            <w:pPr>
                              <w:jc w:val="right"/>
                              <w:rPr>
                                <w:rFonts w:ascii="Arial" w:hAnsi="Arial" w:cs="Arial"/>
                                <w:sz w:val="16"/>
                              </w:rPr>
                            </w:pPr>
                            <w:r>
                              <w:rPr>
                                <w:rFonts w:ascii="Arial" w:hAnsi="Arial" w:cs="Arial"/>
                                <w:sz w:val="16"/>
                              </w:rPr>
                              <w:t>856.2</w:t>
                            </w:r>
                          </w:p>
                        </w:tc>
                      </w:tr>
                    </w:tbl>
                    <w:p w:rsidR="001712A9" w:rsidRDefault="001712A9"/>
                  </w:txbxContent>
                </v:textbox>
                <w10:anchorlock/>
              </v:shape>
            </w:pict>
          </mc:Fallback>
        </mc:AlternateContent>
      </w:r>
    </w:p>
    <w:p w:rsidR="001712A9" w:rsidRDefault="001712A9">
      <w:r>
        <w:t xml:space="preserve">During 2002 a total area of 856.2 ha of new seed stands were selected and added to the National Catalogue of Seed Stands. This is a substantial increase in area from previous years (see Table 1). In 1997 the area added was 168.0 ha, in 1998 it was 397.1 ha and in 1999 505.6 ha were added. In 2000, some 586.4 ha of new seed stand were selected while an additional 489.2 ha were selected in 2001. </w:t>
      </w:r>
    </w:p>
    <w:p w:rsidR="001712A9" w:rsidRDefault="001712A9">
      <w:pPr>
        <w:pStyle w:val="Normal-firstlineindent"/>
        <w:ind w:right="-54"/>
        <w:sectPr w:rsidR="001712A9">
          <w:type w:val="continuous"/>
          <w:pgSz w:w="11906" w:h="16838" w:code="9"/>
          <w:pgMar w:top="1134" w:right="1466" w:bottom="1418" w:left="1134" w:header="567" w:footer="567" w:gutter="0"/>
          <w:cols w:sep="1" w:space="720"/>
          <w:docGrid w:linePitch="360"/>
        </w:sectPr>
      </w:pPr>
      <w:r>
        <w:t xml:space="preserve">It is interesting to note the shift in emphasis in species, with a decrease in the area of conifer stands selected and an increase in the area of broadleaved seed stands. In 1997 seven stands of </w:t>
      </w:r>
      <w:smartTag w:uri="urn:schemas-microsoft-com:office:smarttags" w:element="City">
        <w:smartTag w:uri="urn:schemas-microsoft-com:office:smarttags" w:element="place">
          <w:r>
            <w:t>Sitka</w:t>
          </w:r>
        </w:smartTag>
      </w:smartTag>
      <w:r>
        <w:t xml:space="preserve"> spruce were selected, with a total area of 107.2 ha, while in 2002 just one stand with an area of 8.6 ha was selected. On the other hand, the area of sessile oak stands has grown from one stand selected in 1997 (4.5 ha) to 11 stands selected in 2002 (total area selected 595.8 ha). This represents an </w:t>
      </w:r>
    </w:p>
    <w:p w:rsidR="001712A9" w:rsidRDefault="001712A9">
      <w:r>
        <w:lastRenderedPageBreak/>
        <w:t xml:space="preserve">increased demand for broadleaves, particularly native broadleaves, as a result of the Native Woodland Scheme (NWS). It also reflects a new EU Directive, which came into force on 1 January 2003. This new Directive covers a much wider range of species of importance to forestry in </w:t>
      </w:r>
      <w:smartTag w:uri="urn:schemas-microsoft-com:office:smarttags" w:element="country-region">
        <w:smartTag w:uri="urn:schemas-microsoft-com:office:smarttags" w:element="place">
          <w:r>
            <w:t>Ireland</w:t>
          </w:r>
        </w:smartTag>
      </w:smartTag>
      <w:r>
        <w:t xml:space="preserve">, including ash, alder, sycamore, cherry and </w:t>
      </w:r>
      <w:proofErr w:type="spellStart"/>
      <w:r>
        <w:t>lodgepole</w:t>
      </w:r>
      <w:proofErr w:type="spellEnd"/>
      <w:r>
        <w:t xml:space="preserve"> pine.</w:t>
      </w:r>
    </w:p>
    <w:p w:rsidR="001712A9" w:rsidRDefault="001712A9">
      <w:pPr>
        <w:pStyle w:val="Normal-firstlineindent"/>
      </w:pPr>
      <w:r>
        <w:t xml:space="preserve">Selected seed stands are a valuable resource that guarantees the sustainability and productivity of our forests. </w:t>
      </w:r>
      <w:smartTag w:uri="urn:schemas-microsoft-com:office:smarttags" w:element="place">
        <w:r>
          <w:t>Forest</w:t>
        </w:r>
      </w:smartTag>
      <w:r>
        <w:t xml:space="preserve"> owners and managers should always seek out the best and most productive forest reproductive material. Anyone wishing to find out more about the National Catalogue of Seed Stands should consult the Forest Service or COFORD.</w:t>
      </w:r>
    </w:p>
    <w:p w:rsidR="001712A9" w:rsidRDefault="004767B5">
      <w:pPr>
        <w:pStyle w:val="backtothetop"/>
      </w:pPr>
      <w:hyperlink w:anchor="_CONTENTS_1" w:history="1">
        <w:r w:rsidR="001712A9">
          <w:rPr>
            <w:rStyle w:val="Hyperlink"/>
          </w:rPr>
          <w:t>Back to the List of Contents</w:t>
        </w:r>
      </w:hyperlink>
    </w:p>
    <w:p w:rsidR="001712A9" w:rsidRDefault="001712A9">
      <w:pPr>
        <w:pStyle w:val="Heading1"/>
        <w:rPr>
          <w:b w:val="0"/>
          <w:bCs w:val="0"/>
        </w:rPr>
      </w:pPr>
      <w:bookmarkStart w:id="10" w:name="_Toc29787286"/>
      <w:r>
        <w:t xml:space="preserve">BIHIP AGM and Conference on </w:t>
      </w:r>
      <w:r>
        <w:br/>
        <w:t>“Tree improvement and regional diversity”</w:t>
      </w:r>
      <w:bookmarkEnd w:id="10"/>
    </w:p>
    <w:p w:rsidR="001712A9" w:rsidRDefault="001712A9">
      <w:r>
        <w:t xml:space="preserve">The Second Annual General Meeting of BIHIP took place at the </w:t>
      </w:r>
      <w:proofErr w:type="spellStart"/>
      <w:r>
        <w:t>Northmoor</w:t>
      </w:r>
      <w:proofErr w:type="spellEnd"/>
      <w:r>
        <w:t xml:space="preserve"> Trust Offices in Little </w:t>
      </w:r>
      <w:proofErr w:type="spellStart"/>
      <w:r>
        <w:t>Wittenham</w:t>
      </w:r>
      <w:proofErr w:type="spellEnd"/>
      <w:r>
        <w:t xml:space="preserve"> in Oxfordshire on 24 September 2002. A number of important issues were discussed at this meeting and there was welcome news about funding of projects. Horticulture Research International (HRI), who up to now had concentrated their research work on cherry improvement, has decided to extend their tree improvement work into oak, ash, walnut and sweet </w:t>
      </w:r>
      <w:r>
        <w:lastRenderedPageBreak/>
        <w:t xml:space="preserve">chestnut, which will be funded jointly by the Department of Environment, Food and Rural affairs (DEFRA) and the Forestry Commission, amounting to £120,000 a year for the next six years. The main focus of this work will be on plus tree selection, propagation and breeding as appropriate for each species. The Forestry Commission has also supported the BIHIP oak, ash and birch groups with a grant of £3000 to each project during 2002 with an additional £1000 to the </w:t>
      </w:r>
      <w:proofErr w:type="spellStart"/>
      <w:r>
        <w:t>Northmoor</w:t>
      </w:r>
      <w:proofErr w:type="spellEnd"/>
      <w:r>
        <w:t xml:space="preserve"> Trust to support the secretarial work of BIHIP. For many years BIHIP has been attempting to establish a sycamore group and this was finally agreed at the meeting. This new group will be chaired by Dr Michael Carey, former General Manager, </w:t>
      </w:r>
      <w:proofErr w:type="spellStart"/>
      <w:smartTag w:uri="urn:schemas-microsoft-com:office:smarttags" w:element="place">
        <w:smartTag w:uri="urn:schemas-microsoft-com:office:smarttags" w:element="PlaceName">
          <w:r>
            <w:t>Coillte</w:t>
          </w:r>
        </w:smartTag>
        <w:proofErr w:type="spellEnd"/>
        <w:r>
          <w:t xml:space="preserve"> </w:t>
        </w:r>
        <w:smartTag w:uri="urn:schemas-microsoft-com:office:smarttags" w:element="PlaceType">
          <w:r>
            <w:t>Forest</w:t>
          </w:r>
        </w:smartTag>
      </w:smartTag>
      <w:r>
        <w:t xml:space="preserve">. It was also agreed that the next meeting of the Management Committee of BIHIP would be held in </w:t>
      </w:r>
      <w:smartTag w:uri="urn:schemas-microsoft-com:office:smarttags" w:element="country-region">
        <w:smartTag w:uri="urn:schemas-microsoft-com:office:smarttags" w:element="place">
          <w:r>
            <w:t>Ireland</w:t>
          </w:r>
        </w:smartTag>
      </w:smartTag>
      <w:r>
        <w:t xml:space="preserve"> in </w:t>
      </w:r>
      <w:proofErr w:type="spellStart"/>
      <w:r>
        <w:t>mid January</w:t>
      </w:r>
      <w:proofErr w:type="spellEnd"/>
      <w:r>
        <w:t xml:space="preserve"> 2003, to conclude with a field day.</w:t>
      </w:r>
    </w:p>
    <w:p w:rsidR="001712A9" w:rsidRDefault="001712A9"/>
    <w:p w:rsidR="001712A9" w:rsidRDefault="001712A9">
      <w:pPr>
        <w:pStyle w:val="Heading2"/>
      </w:pPr>
      <w:r>
        <w:t>Conference on tree improvement and regional diversity</w:t>
      </w:r>
    </w:p>
    <w:p w:rsidR="001712A9" w:rsidRDefault="001712A9">
      <w:r>
        <w:t xml:space="preserve">At the conclusion of the AGM, a conference on “Tree improvement and regional diversity” took place. This conference was opened by Sir Martin Wood, Patron, </w:t>
      </w:r>
      <w:proofErr w:type="spellStart"/>
      <w:r>
        <w:t>Northmoor</w:t>
      </w:r>
      <w:proofErr w:type="spellEnd"/>
      <w:r>
        <w:t xml:space="preserve"> Trust, who welcomed all of the participants. Professor Jeff Burley, Chairman of BIHIP and Director of the Oxford Forestry Institute, introduced the topic and chaired the meeting. </w:t>
      </w:r>
    </w:p>
    <w:p w:rsidR="001712A9" w:rsidRDefault="001712A9">
      <w:r>
        <w:t>Dr Sam Samuel, Head, Tree Improvement Branch, Forestry Commission presented a thought provoking paper on “Current knowledge and issues” in relation to tree improvement and regional matters. He gave a clear explanation on variation in forest trees:</w:t>
      </w:r>
    </w:p>
    <w:p w:rsidR="001712A9" w:rsidRDefault="001712A9">
      <w:pPr>
        <w:numPr>
          <w:ilvl w:val="0"/>
          <w:numId w:val="12"/>
        </w:numPr>
      </w:pPr>
      <w:r>
        <w:rPr>
          <w:u w:val="single"/>
        </w:rPr>
        <w:t>Adaptive or selective variation</w:t>
      </w:r>
      <w:r>
        <w:t>, which is the basis of most field trials to determine suitability of genotypes for planting. Trials with many species generally show that native material performs better than foreign material since it has adapted best to the locality in important traits such as time of bud burst and time of cessation of growth.</w:t>
      </w:r>
    </w:p>
    <w:p w:rsidR="001712A9" w:rsidRDefault="001712A9">
      <w:pPr>
        <w:numPr>
          <w:ilvl w:val="0"/>
          <w:numId w:val="12"/>
        </w:numPr>
      </w:pPr>
      <w:r>
        <w:rPr>
          <w:u w:val="single"/>
        </w:rPr>
        <w:t>Neutral, non-selective or random variation</w:t>
      </w:r>
      <w:r>
        <w:t>, which is most commonly determined by molecular methods, which can help elucidate such questions as origin of particular populations and gene flow.</w:t>
      </w:r>
    </w:p>
    <w:p w:rsidR="001712A9" w:rsidRDefault="001712A9">
      <w:pPr>
        <w:pStyle w:val="Normal-firstlineindent"/>
      </w:pPr>
      <w:r>
        <w:t xml:space="preserve">Dr Samuel went on to discuss a number of terms used in tree improvement, which often tend to lead to confusion. The first of these is </w:t>
      </w:r>
      <w:r>
        <w:rPr>
          <w:u w:val="single"/>
        </w:rPr>
        <w:t>adaptation</w:t>
      </w:r>
      <w:r>
        <w:t xml:space="preserve">, which is the variation in a population that exists as a result of selection in the local environment. </w:t>
      </w:r>
      <w:r>
        <w:rPr>
          <w:u w:val="single"/>
        </w:rPr>
        <w:t>Adaptability</w:t>
      </w:r>
      <w:r>
        <w:t xml:space="preserve"> is the potential of a population to adapt to heterogeneous or </w:t>
      </w:r>
      <w:r>
        <w:lastRenderedPageBreak/>
        <w:t xml:space="preserve">changing environmental conditions. </w:t>
      </w:r>
      <w:r>
        <w:rPr>
          <w:u w:val="single"/>
        </w:rPr>
        <w:t>Conservation</w:t>
      </w:r>
      <w:r>
        <w:t xml:space="preserve"> aims to maintain or increase adaptability. The important questions for BIHIP are whether a combination of adaptation and selection for quality and performance are acceptable, or whether they are mutually exclusive, and at what level, breeding programmes should address the region of provenance or seed zone structure? In </w:t>
      </w:r>
      <w:smartTag w:uri="urn:schemas-microsoft-com:office:smarttags" w:element="country-region">
        <w:smartTag w:uri="urn:schemas-microsoft-com:office:smarttags" w:element="place">
          <w:r>
            <w:t>Britain</w:t>
          </w:r>
        </w:smartTag>
      </w:smartTag>
      <w:r>
        <w:t xml:space="preserve"> there are four regions of provenance, which are subdivided into 24 local seed zones. At present, </w:t>
      </w:r>
      <w:smartTag w:uri="urn:schemas-microsoft-com:office:smarttags" w:element="country-region">
        <w:smartTag w:uri="urn:schemas-microsoft-com:office:smarttags" w:element="place">
          <w:r>
            <w:t>Ireland</w:t>
          </w:r>
        </w:smartTag>
      </w:smartTag>
      <w:r>
        <w:t xml:space="preserve">, as a whole is regarded as only one region of provenance and one seed zone. </w:t>
      </w:r>
    </w:p>
    <w:p w:rsidR="001712A9" w:rsidRDefault="001712A9">
      <w:pPr>
        <w:pStyle w:val="Normal-firstlineindent"/>
      </w:pPr>
      <w:r>
        <w:t>Mr Gordon Patterson, Principle Biodiversity Advisor, Policy and Practice Division, Forestry Commission, gave a paper entitled “Reconciling tree improvement with the conservation of genetic variation”. He gave a valuable overview of a number of issues concerning policy on the genetic conservation of native trees. Among the issues of importance to BIHIP are:</w:t>
      </w:r>
    </w:p>
    <w:p w:rsidR="001712A9" w:rsidRDefault="001712A9">
      <w:pPr>
        <w:numPr>
          <w:ilvl w:val="0"/>
          <w:numId w:val="6"/>
        </w:numPr>
        <w:ind w:left="357" w:hanging="357"/>
      </w:pPr>
      <w:r>
        <w:t>The use of genetically improved material rather than local seed sources.</w:t>
      </w:r>
    </w:p>
    <w:p w:rsidR="001712A9" w:rsidRDefault="001712A9">
      <w:pPr>
        <w:numPr>
          <w:ilvl w:val="0"/>
          <w:numId w:val="6"/>
        </w:numPr>
        <w:ind w:left="357" w:hanging="357"/>
      </w:pPr>
      <w:r>
        <w:t>The choice of seed origin and rules about seed transfer.</w:t>
      </w:r>
    </w:p>
    <w:p w:rsidR="001712A9" w:rsidRDefault="001712A9">
      <w:pPr>
        <w:numPr>
          <w:ilvl w:val="0"/>
          <w:numId w:val="6"/>
        </w:numPr>
        <w:ind w:left="357" w:hanging="357"/>
      </w:pPr>
      <w:r>
        <w:t>The use of foreign reproductive material (e.g</w:t>
      </w:r>
      <w:r>
        <w:rPr>
          <w:i/>
          <w:iCs/>
        </w:rPr>
        <w:t xml:space="preserve">. </w:t>
      </w:r>
      <w:r>
        <w:t>eastern European oak) in existing woods.</w:t>
      </w:r>
    </w:p>
    <w:p w:rsidR="001712A9" w:rsidRDefault="001712A9">
      <w:pPr>
        <w:numPr>
          <w:ilvl w:val="0"/>
          <w:numId w:val="6"/>
        </w:numPr>
        <w:ind w:left="357" w:hanging="357"/>
      </w:pPr>
      <w:r>
        <w:t>Response to environmental change.</w:t>
      </w:r>
    </w:p>
    <w:p w:rsidR="001712A9" w:rsidRDefault="001712A9">
      <w:pPr>
        <w:numPr>
          <w:ilvl w:val="0"/>
          <w:numId w:val="6"/>
        </w:numPr>
      </w:pPr>
      <w:r>
        <w:t>The influence of tree genotype on woodland fungi and fauna.</w:t>
      </w:r>
    </w:p>
    <w:p w:rsidR="001712A9" w:rsidRDefault="001712A9">
      <w:pPr>
        <w:pStyle w:val="Normal-firstlineindent"/>
      </w:pPr>
      <w:r>
        <w:t xml:space="preserve">Research needs to be done on adaptive variation and choice of seed origin, and the potential for seed supply in </w:t>
      </w:r>
      <w:smartTag w:uri="urn:schemas-microsoft-com:office:smarttags" w:element="country-region">
        <w:smartTag w:uri="urn:schemas-microsoft-com:office:smarttags" w:element="place">
          <w:r>
            <w:t>Britain</w:t>
          </w:r>
        </w:smartTag>
      </w:smartTag>
      <w:r>
        <w:t xml:space="preserve">. At present about two thirds to three quarters of all broadleaved planting stock comes from continental Europe, and large scale movement of seed across </w:t>
      </w:r>
      <w:smartTag w:uri="urn:schemas-microsoft-com:office:smarttags" w:element="country-region">
        <w:smartTag w:uri="urn:schemas-microsoft-com:office:smarttags" w:element="place">
          <w:r>
            <w:t>Britain</w:t>
          </w:r>
        </w:smartTag>
      </w:smartTag>
      <w:r>
        <w:t xml:space="preserve"> is common. In </w:t>
      </w:r>
      <w:smartTag w:uri="urn:schemas-microsoft-com:office:smarttags" w:element="country-region">
        <w:smartTag w:uri="urn:schemas-microsoft-com:office:smarttags" w:element="place">
          <w:r>
            <w:t>Ireland</w:t>
          </w:r>
        </w:smartTag>
      </w:smartTag>
      <w:r>
        <w:t xml:space="preserve"> the situation is quite similar for oak, while there is almost self-sufficiency with most other broadleaf species. In </w:t>
      </w:r>
      <w:smartTag w:uri="urn:schemas-microsoft-com:office:smarttags" w:element="country-region">
        <w:smartTag w:uri="urn:schemas-microsoft-com:office:smarttags" w:element="place">
          <w:r>
            <w:t>Britain</w:t>
          </w:r>
        </w:smartTag>
      </w:smartTag>
      <w:r>
        <w:t xml:space="preserve"> the Forestry Commission’s current policy is to encourage the use of local seed sources, especially in ancient semi-natural woodland. Though the use of improved material in this type of woodland is unlikely to be ruled out if genetic conservation is not compromised. However, a problem is likely to arise if a large amount of specially selected stock is planted in native woodlands, especially if introduced from distant sources. In Ireland, the Native Woodland Scheme has a requirement that “all sessile and </w:t>
      </w:r>
      <w:proofErr w:type="spellStart"/>
      <w:r>
        <w:t>pedunculate</w:t>
      </w:r>
      <w:proofErr w:type="spellEnd"/>
      <w:r>
        <w:t xml:space="preserve"> oak planted under the scheme must originate from a registered seed stand included in the National Catalogue of Seed Stands and regarded as being indigenous” while “all planting stock of native species, other than sessile and </w:t>
      </w:r>
      <w:proofErr w:type="spellStart"/>
      <w:r>
        <w:t>pedunculate</w:t>
      </w:r>
      <w:proofErr w:type="spellEnd"/>
      <w:r>
        <w:t xml:space="preserve"> oak, must originate from within Ireland </w:t>
      </w:r>
      <w:r>
        <w:lastRenderedPageBreak/>
        <w:t xml:space="preserve">from sources identified through good seed collection practices as being indigenous and heterogeneous”. </w:t>
      </w:r>
    </w:p>
    <w:p w:rsidR="001712A9" w:rsidRDefault="001712A9">
      <w:pPr>
        <w:pStyle w:val="Normal-firstlineindent"/>
      </w:pPr>
      <w:r>
        <w:t xml:space="preserve">In both </w:t>
      </w:r>
      <w:smartTag w:uri="urn:schemas-microsoft-com:office:smarttags" w:element="country-region">
        <w:r>
          <w:t>Britain</w:t>
        </w:r>
      </w:smartTag>
      <w:r>
        <w:t xml:space="preserve"> and </w:t>
      </w:r>
      <w:smartTag w:uri="urn:schemas-microsoft-com:office:smarttags" w:element="country-region">
        <w:smartTag w:uri="urn:schemas-microsoft-com:office:smarttags" w:element="place">
          <w:r>
            <w:t>Ireland</w:t>
          </w:r>
        </w:smartTag>
      </w:smartTag>
      <w:r>
        <w:t>, a wide spectrum of policy response is likely to be developed between conservation on the one hand and production forestry on the other. Where timber production is a major objective, the use of improved stock may be allowed, and even encouraged. The main aim is not to allow the native gene pool to be changed too rapidly, and the challenge is to determine the desirable balance between genetic conservation and production forestry.</w:t>
      </w:r>
    </w:p>
    <w:p w:rsidR="001712A9" w:rsidRDefault="001712A9">
      <w:pPr>
        <w:pStyle w:val="Normal-firstlineindent"/>
      </w:pPr>
      <w:r>
        <w:t xml:space="preserve">A paper on “Regionalisation in </w:t>
      </w:r>
      <w:smartTag w:uri="urn:schemas-microsoft-com:office:smarttags" w:element="country-region">
        <w:smartTag w:uri="urn:schemas-microsoft-com:office:smarttags" w:element="place">
          <w:r>
            <w:t>Ireland</w:t>
          </w:r>
        </w:smartTag>
      </w:smartTag>
      <w:r>
        <w:t xml:space="preserve"> and the New Native Woodland Scheme” was presented by John </w:t>
      </w:r>
      <w:proofErr w:type="spellStart"/>
      <w:r>
        <w:t>Fennessy</w:t>
      </w:r>
      <w:proofErr w:type="spellEnd"/>
      <w:r>
        <w:t xml:space="preserve">, COFORD, on behalf of </w:t>
      </w:r>
      <w:proofErr w:type="spellStart"/>
      <w:r>
        <w:t>Diarmuid</w:t>
      </w:r>
      <w:proofErr w:type="spellEnd"/>
      <w:r>
        <w:t xml:space="preserve"> </w:t>
      </w:r>
      <w:proofErr w:type="spellStart"/>
      <w:r>
        <w:t>McAree</w:t>
      </w:r>
      <w:proofErr w:type="spellEnd"/>
      <w:r>
        <w:t xml:space="preserve">, Chief Inspector Forest Service. The paper gave a brief overview of the scheme, described its origins, highlighted its wide-ranging consensus on ecological and </w:t>
      </w:r>
      <w:proofErr w:type="spellStart"/>
      <w:r>
        <w:t>silvicultural</w:t>
      </w:r>
      <w:proofErr w:type="spellEnd"/>
      <w:r>
        <w:t xml:space="preserve"> principles and explained its main elements, including the unique partnership between landowners, statutory bodies, environmental interests and the private sector. </w:t>
      </w:r>
    </w:p>
    <w:p w:rsidR="001712A9" w:rsidRDefault="001712A9">
      <w:pPr>
        <w:pStyle w:val="Normal-firstlineindent"/>
      </w:pPr>
      <w:r>
        <w:t xml:space="preserve">Dr Hugh Williams, Grant and Land Management Advisor, National Forest, spoke on the development of the new National Forest in the </w:t>
      </w:r>
      <w:smartTag w:uri="urn:schemas-microsoft-com:office:smarttags" w:element="place">
        <w:r>
          <w:t>Midlands</w:t>
        </w:r>
      </w:smartTag>
      <w:r>
        <w:t>. His paper, “The National Forest – quantity and quality in woodland creation” gave an insight into the problems and opportunities faced by the people charged with the creation of the new National Forest.</w:t>
      </w:r>
    </w:p>
    <w:p w:rsidR="001712A9" w:rsidRDefault="001712A9">
      <w:pPr>
        <w:pStyle w:val="Normal-firstlineindent"/>
      </w:pPr>
      <w:r>
        <w:t xml:space="preserve">Dr David </w:t>
      </w:r>
      <w:proofErr w:type="spellStart"/>
      <w:r>
        <w:t>Boshier</w:t>
      </w:r>
      <w:proofErr w:type="spellEnd"/>
      <w:r>
        <w:t>, Senior Research Associate, Oxford Forestry Institute, presented a paper on “Local seed sources – how can research help us”. He quoted the EC Biodiversity Strategy guideline which states that “native species and local provenances should be preferred where appropriate”, and forest certification requires this approach too. The problem is to decide what “local” means. For example, should seed be collected from the same wood, the same watershed or anywhere in the same country? Two sources of information are available to help determine this:</w:t>
      </w:r>
    </w:p>
    <w:p w:rsidR="001712A9" w:rsidRDefault="001712A9">
      <w:pPr>
        <w:numPr>
          <w:ilvl w:val="0"/>
          <w:numId w:val="8"/>
        </w:numPr>
        <w:tabs>
          <w:tab w:val="clear" w:pos="720"/>
          <w:tab w:val="num" w:pos="360"/>
        </w:tabs>
        <w:ind w:left="360" w:hanging="357"/>
      </w:pPr>
      <w:r>
        <w:t>Molecular studies which enable neutral variation, gene flow and population structures to be investigated.</w:t>
      </w:r>
    </w:p>
    <w:p w:rsidR="001712A9" w:rsidRDefault="001712A9">
      <w:pPr>
        <w:numPr>
          <w:ilvl w:val="0"/>
          <w:numId w:val="7"/>
        </w:numPr>
        <w:tabs>
          <w:tab w:val="clear" w:pos="780"/>
          <w:tab w:val="num" w:pos="420"/>
        </w:tabs>
        <w:ind w:left="420" w:hanging="357"/>
      </w:pPr>
      <w:r>
        <w:t>Field trials, which allow adaptive variation to be studied. The extent of this variation will depend on the number of generations over which selection has occurred, and also the extent of environmental variability.</w:t>
      </w:r>
    </w:p>
    <w:p w:rsidR="001712A9" w:rsidRDefault="001712A9">
      <w:pPr>
        <w:pStyle w:val="Normal-firstlineindent"/>
      </w:pPr>
      <w:r>
        <w:t xml:space="preserve">Dr </w:t>
      </w:r>
      <w:proofErr w:type="spellStart"/>
      <w:r>
        <w:t>Boshier</w:t>
      </w:r>
      <w:proofErr w:type="spellEnd"/>
      <w:r>
        <w:t xml:space="preserve"> suggested that it is necessary to maintain genetic variation in trees to provide adaptation to a changing environment and because it can be utilised, as in the case of BIHIP’s work. It is also </w:t>
      </w:r>
      <w:r>
        <w:lastRenderedPageBreak/>
        <w:t xml:space="preserve">important to maintain viability of populations in the short term and to avoid inbreeding and outbreeding depression. Dr </w:t>
      </w:r>
      <w:proofErr w:type="spellStart"/>
      <w:r>
        <w:t>Boshier</w:t>
      </w:r>
      <w:proofErr w:type="spellEnd"/>
      <w:r>
        <w:t xml:space="preserve"> went on to explain that the “reciprocal transplant” experiments currently being established at </w:t>
      </w:r>
      <w:smartTag w:uri="urn:schemas-microsoft-com:office:smarttags" w:element="City">
        <w:smartTag w:uri="urn:schemas-microsoft-com:office:smarttags" w:element="place">
          <w:r>
            <w:t>Oxford</w:t>
          </w:r>
        </w:smartTag>
      </w:smartTag>
      <w:r>
        <w:t xml:space="preserve"> with ash, will for this species, elucidate the scale at which adaptation occurs, relating geographic distances between seed sources to ecological differences. This will provide a scientific basis for any adjustments that may be needed to the existing provenance regions and seed zones in the </w:t>
      </w:r>
      <w:smartTag w:uri="urn:schemas-microsoft-com:office:smarttags" w:element="country-region">
        <w:smartTag w:uri="urn:schemas-microsoft-com:office:smarttags" w:element="place">
          <w:r>
            <w:t>UK</w:t>
          </w:r>
        </w:smartTag>
      </w:smartTag>
      <w:r>
        <w:t>. However, policies for one species may not necessarily apply to another, for example due to different dispersal mechanisms or responses to site differences. He suggested that it would be important for BIHIP to identify where there is genotype-environment interaction in its trials and what is the cause of this interaction.</w:t>
      </w:r>
    </w:p>
    <w:p w:rsidR="001712A9" w:rsidRDefault="001712A9">
      <w:pPr>
        <w:pStyle w:val="backtothetop"/>
      </w:pPr>
      <w:r>
        <w:rPr>
          <w:color w:val="000000"/>
        </w:rPr>
        <w:t> </w:t>
      </w:r>
      <w:hyperlink w:anchor="_Contents" w:history="1">
        <w:r>
          <w:rPr>
            <w:rStyle w:val="Hyperlink"/>
          </w:rPr>
          <w:t>Back to List of Contents</w:t>
        </w:r>
      </w:hyperlink>
    </w:p>
    <w:p w:rsidR="001712A9" w:rsidRDefault="001712A9">
      <w:pPr>
        <w:pStyle w:val="Heading1"/>
      </w:pPr>
      <w:bookmarkStart w:id="11" w:name="_Toc29787287"/>
      <w:r>
        <w:t>European Commission calls for experts to evaluate scientific projects</w:t>
      </w:r>
      <w:bookmarkEnd w:id="11"/>
    </w:p>
    <w:p w:rsidR="001712A9" w:rsidRDefault="001712A9">
      <w:r>
        <w:t xml:space="preserve">On 4 December the European Commission published two calls for experts to assist it in evaluating and selecting proposals for research projects to be funded within the Sixth EU Research framework Programme (FP6 2002-2006). Under FP6, proposals will continue to be evaluated and selected for funding with the help of independent external scientists. This "peer review" system will be further streamlined to ensure the procedure is even more transparent and efficient. Within the Fifth Framework Programme (FP5 1998-2002) the Commission's database containing over 35,000 experts was used to select some 10, 000 experts to assess 60,000 proposals. "Our programmes are based on excellence," said European Research Commissioner Philippe </w:t>
      </w:r>
      <w:proofErr w:type="spellStart"/>
      <w:r>
        <w:t>Busquin</w:t>
      </w:r>
      <w:proofErr w:type="spellEnd"/>
      <w:r>
        <w:t xml:space="preserve">. "The idea of the European Research Area, a true internal market for knowledge and science, is to make </w:t>
      </w:r>
      <w:smartTag w:uri="urn:schemas-microsoft-com:office:smarttags" w:element="place">
        <w:r>
          <w:t>Europe</w:t>
        </w:r>
      </w:smartTag>
      <w:r>
        <w:t xml:space="preserve"> share best practice in the scientific field. To identify best projects and reward outstanding performance, we have to rely on high-quality experts to advise us. I invite research institutions to put us in touch with the best scientists and I invite researchers themselves to present their application and help us discover and support innovative research projects, to enhance </w:t>
      </w:r>
      <w:smartTag w:uri="urn:schemas-microsoft-com:office:smarttags" w:element="place">
        <w:r>
          <w:t>Europe</w:t>
        </w:r>
      </w:smartTag>
      <w:r>
        <w:t>'s competitiveness and quality of life."</w:t>
      </w:r>
      <w:r>
        <w:br/>
        <w:t xml:space="preserve"> The first call for applications focuses on individual experts, who are invited to register directly in a newly developed database, while the second one concerns research institutions and other organisations with an </w:t>
      </w:r>
      <w:r>
        <w:lastRenderedPageBreak/>
        <w:t>interest in research, which are invited to present lists of candidates.</w:t>
      </w:r>
    </w:p>
    <w:p w:rsidR="001712A9" w:rsidRDefault="001712A9">
      <w:pPr>
        <w:pStyle w:val="Normal-firstlineindent"/>
      </w:pPr>
      <w:r>
        <w:t>This is the first time such organisations have been asked to suggest names of experts. The lists of suggested names would be submitted via a web site developed for this purpose. Candidates will then be contacted individually by the European Commission to invite them to register in the database mentioned above. Experts appointed by the Commission will assist it in evaluating proposals and may be called on to monitor projects as well.</w:t>
      </w:r>
    </w:p>
    <w:p w:rsidR="001712A9" w:rsidRDefault="001712A9">
      <w:pPr>
        <w:pStyle w:val="Normal-firstlineindent"/>
      </w:pPr>
      <w:r>
        <w:t>FP6 aims to target its resources on a smaller number of well-focused projects, to achieve added value and critical mass at EU level. This will require a high level of expertise. Evaluators will also have to change on a regular basis. At least 25% of the evaluators working on a specific priority will change annually. Independent experts may also come from outside EU Member States, as this call is open to individuals from every country. In fact, given the ambitious nature of the new instruments to implement the FP6, it is particularly important to the EC to have access to the very best experts from all over the world. To promote equal opportunities, the Commission will continue to try to achieve a 40% quota of women for evaluation panels. Those experts who were already in the database for the previous framework programme are invited to renew their registration, according to the new FP6 "thematic priority areas" and their related key words. Another innovation lies in the possibility of access by other Commission departments as well as Member States and Associated States to this database (following an official request and only if the expert agrees to this when registering). The procedure for having access to the names of the experts will guarantee data protection, following the strict quality controls existing in the EC databases. Data will be stored only as long as needed.</w:t>
      </w:r>
    </w:p>
    <w:p w:rsidR="001712A9" w:rsidRDefault="001712A9">
      <w:pPr>
        <w:pStyle w:val="BodyText"/>
      </w:pPr>
      <w:r>
        <w:t>For registration,  please visit the website:</w:t>
      </w:r>
      <w:r>
        <w:br/>
        <w:t xml:space="preserve"> http://www.cordis.lu/experts/fp6_candidature.htm</w:t>
      </w:r>
      <w:r>
        <w:br/>
        <w:t xml:space="preserve">For further information, contact Graham Stroud, </w:t>
      </w:r>
      <w:r>
        <w:br/>
        <w:t xml:space="preserve">E-mail: </w:t>
      </w:r>
      <w:hyperlink r:id="rId16" w:history="1">
        <w:r>
          <w:rPr>
            <w:rStyle w:val="Hyperlink"/>
          </w:rPr>
          <w:t>graham.stroud@cec.eu.int</w:t>
        </w:r>
      </w:hyperlink>
    </w:p>
    <w:p w:rsidR="001712A9" w:rsidRDefault="004767B5">
      <w:pPr>
        <w:pStyle w:val="backtothetop"/>
      </w:pPr>
      <w:hyperlink w:anchor="_Contents" w:history="1">
        <w:r w:rsidR="001712A9">
          <w:rPr>
            <w:rStyle w:val="Hyperlink"/>
          </w:rPr>
          <w:t>Back to List of Contents</w:t>
        </w:r>
      </w:hyperlink>
    </w:p>
    <w:p w:rsidR="001712A9" w:rsidRDefault="001712A9">
      <w:pPr>
        <w:pStyle w:val="Heading1"/>
      </w:pPr>
      <w:bookmarkStart w:id="12" w:name="_Toc29787288"/>
      <w:bookmarkStart w:id="13" w:name="_GoBack"/>
      <w:bookmarkEnd w:id="13"/>
      <w:r>
        <w:t xml:space="preserve">Irish Electricity – </w:t>
      </w:r>
      <w:r>
        <w:br/>
        <w:t>A Directory and Guide</w:t>
      </w:r>
      <w:bookmarkEnd w:id="12"/>
    </w:p>
    <w:p w:rsidR="001712A9" w:rsidRDefault="001712A9">
      <w:pPr>
        <w:rPr>
          <w:lang w:val="en-US"/>
        </w:rPr>
      </w:pPr>
      <w:r>
        <w:t xml:space="preserve">COFORD recently received information about the publishing of the first edition of an Irish electricity directory and guide. </w:t>
      </w:r>
      <w:r>
        <w:rPr>
          <w:lang w:val="en-US"/>
        </w:rPr>
        <w:t xml:space="preserve">The Irish Electricity Directory and Guide will be published every year to back up the Electricity component of the very successful Irish Energy Map. The first edition of this directory is now </w:t>
      </w:r>
      <w:r>
        <w:rPr>
          <w:lang w:val="en-US"/>
        </w:rPr>
        <w:lastRenderedPageBreak/>
        <w:t xml:space="preserve">being prepared by La </w:t>
      </w:r>
      <w:proofErr w:type="spellStart"/>
      <w:r>
        <w:rPr>
          <w:lang w:val="en-US"/>
        </w:rPr>
        <w:t>Tene</w:t>
      </w:r>
      <w:proofErr w:type="spellEnd"/>
      <w:r>
        <w:rPr>
          <w:lang w:val="en-US"/>
        </w:rPr>
        <w:t xml:space="preserve"> Maps and is expected to be published in January 2003.</w:t>
      </w:r>
    </w:p>
    <w:p w:rsidR="001712A9" w:rsidRDefault="001712A9">
      <w:pPr>
        <w:pStyle w:val="Normal-firstlineindent"/>
        <w:rPr>
          <w:lang w:val="en-US"/>
        </w:rPr>
      </w:pPr>
      <w:r>
        <w:rPr>
          <w:lang w:val="en-US"/>
        </w:rPr>
        <w:t xml:space="preserve">The directory is being designed to be a complete reference guide to the electricity industry in </w:t>
      </w:r>
      <w:smartTag w:uri="urn:schemas-microsoft-com:office:smarttags" w:element="country-region">
        <w:smartTag w:uri="urn:schemas-microsoft-com:office:smarttags" w:element="place">
          <w:r>
            <w:rPr>
              <w:lang w:val="en-US"/>
            </w:rPr>
            <w:t>Ireland</w:t>
          </w:r>
        </w:smartTag>
      </w:smartTag>
      <w:r>
        <w:rPr>
          <w:lang w:val="en-US"/>
        </w:rPr>
        <w:t xml:space="preserve"> (North and South). It will include electricity generators (including renewables), transmitters and distributors (electricity sales), promoters/developers, suppliers, government </w:t>
      </w:r>
      <w:r>
        <w:t>agencies, d</w:t>
      </w:r>
      <w:r>
        <w:rPr>
          <w:szCs w:val="20"/>
        </w:rPr>
        <w:t xml:space="preserve">evelopment bodies, consultancies, educational and research institutions. It will </w:t>
      </w:r>
      <w:r>
        <w:rPr>
          <w:lang w:val="en-US"/>
        </w:rPr>
        <w:t>also contain articles on subjects such as finance, licensing procedure, education, and future developments. Renewable and traditional generation sectors will be dealt with, as will combined heat and power.</w:t>
      </w:r>
    </w:p>
    <w:p w:rsidR="001712A9" w:rsidRDefault="001712A9">
      <w:pPr>
        <w:pStyle w:val="Normal-firstlineindent"/>
        <w:rPr>
          <w:lang w:val="en-US"/>
        </w:rPr>
      </w:pPr>
      <w:r>
        <w:t xml:space="preserve">For more information, contact </w:t>
      </w:r>
      <w:r>
        <w:rPr>
          <w:lang w:val="en-US"/>
        </w:rPr>
        <w:t xml:space="preserve">John Coleman, La </w:t>
      </w:r>
      <w:proofErr w:type="spellStart"/>
      <w:r>
        <w:rPr>
          <w:lang w:val="en-US"/>
        </w:rPr>
        <w:t>Tene</w:t>
      </w:r>
      <w:proofErr w:type="spellEnd"/>
      <w:r>
        <w:rPr>
          <w:lang w:val="en-US"/>
        </w:rPr>
        <w:t xml:space="preserve"> Maps, </w:t>
      </w:r>
      <w:smartTag w:uri="urn:schemas-microsoft-com:office:smarttags" w:element="address">
        <w:smartTag w:uri="urn:schemas-microsoft-com:office:smarttags" w:element="Street">
          <w:r>
            <w:rPr>
              <w:lang w:val="en-US"/>
            </w:rPr>
            <w:t>P.O. Box</w:t>
          </w:r>
        </w:smartTag>
        <w:r>
          <w:rPr>
            <w:lang w:val="en-US"/>
          </w:rPr>
          <w:t xml:space="preserve"> 6098</w:t>
        </w:r>
      </w:smartTag>
      <w:r>
        <w:rPr>
          <w:lang w:val="en-US"/>
        </w:rPr>
        <w:t xml:space="preserve">, </w:t>
      </w:r>
      <w:proofErr w:type="spellStart"/>
      <w:r>
        <w:rPr>
          <w:lang w:val="en-US"/>
        </w:rPr>
        <w:t>Foxrock</w:t>
      </w:r>
      <w:proofErr w:type="spellEnd"/>
      <w:r>
        <w:rPr>
          <w:lang w:val="en-US"/>
        </w:rPr>
        <w:t xml:space="preserve">, </w:t>
      </w:r>
      <w:smartTag w:uri="urn:schemas-microsoft-com:office:smarttags" w:element="City">
        <w:smartTag w:uri="urn:schemas-microsoft-com:office:smarttags" w:element="place">
          <w:r>
            <w:rPr>
              <w:lang w:val="en-US"/>
            </w:rPr>
            <w:t>Dublin</w:t>
          </w:r>
        </w:smartTag>
      </w:smartTag>
      <w:r>
        <w:rPr>
          <w:lang w:val="en-US"/>
        </w:rPr>
        <w:t xml:space="preserve"> 18. Tel: (01)2847914; Email: </w:t>
      </w:r>
      <w:hyperlink r:id="rId17" w:history="1">
        <w:r>
          <w:rPr>
            <w:rStyle w:val="Hyperlink"/>
            <w:lang w:val="en-US"/>
          </w:rPr>
          <w:t>johncoleman@latene.com</w:t>
        </w:r>
      </w:hyperlink>
      <w:r>
        <w:rPr>
          <w:lang w:val="en-US"/>
        </w:rPr>
        <w:t>.</w:t>
      </w:r>
    </w:p>
    <w:p w:rsidR="001712A9" w:rsidRDefault="004767B5">
      <w:pPr>
        <w:pStyle w:val="backtothetop"/>
      </w:pPr>
      <w:hyperlink w:anchor="_Contents" w:history="1">
        <w:r w:rsidR="001712A9">
          <w:rPr>
            <w:rStyle w:val="Hyperlink"/>
          </w:rPr>
          <w:t>Back to List of Contents</w:t>
        </w:r>
      </w:hyperlink>
    </w:p>
    <w:p w:rsidR="001712A9" w:rsidRDefault="001712A9">
      <w:pPr>
        <w:pStyle w:val="backtothetop"/>
      </w:pPr>
    </w:p>
    <w:p w:rsidR="001712A9" w:rsidRDefault="001712A9">
      <w:pPr>
        <w:pStyle w:val="Heading1"/>
        <w:rPr>
          <w:lang w:val="en-US"/>
        </w:rPr>
      </w:pPr>
      <w:bookmarkStart w:id="14" w:name="_Toc29787289"/>
      <w:r>
        <w:rPr>
          <w:lang w:val="en-US"/>
        </w:rPr>
        <w:t>Congress on “</w:t>
      </w:r>
      <w:proofErr w:type="spellStart"/>
      <w:r>
        <w:rPr>
          <w:lang w:val="en-US"/>
        </w:rPr>
        <w:t>Globalisation</w:t>
      </w:r>
      <w:proofErr w:type="spellEnd"/>
      <w:r>
        <w:rPr>
          <w:lang w:val="en-US"/>
        </w:rPr>
        <w:t xml:space="preserve">, </w:t>
      </w:r>
      <w:proofErr w:type="spellStart"/>
      <w:r>
        <w:rPr>
          <w:lang w:val="en-US"/>
        </w:rPr>
        <w:t>localisation</w:t>
      </w:r>
      <w:proofErr w:type="spellEnd"/>
      <w:r>
        <w:rPr>
          <w:lang w:val="en-US"/>
        </w:rPr>
        <w:t xml:space="preserve"> and tropical forest management in the 21st century”</w:t>
      </w:r>
      <w:bookmarkEnd w:id="14"/>
    </w:p>
    <w:p w:rsidR="001712A9" w:rsidRDefault="001712A9">
      <w:pPr>
        <w:autoSpaceDE w:val="0"/>
        <w:autoSpaceDN w:val="0"/>
        <w:adjustRightInd w:val="0"/>
        <w:spacing w:line="240" w:lineRule="auto"/>
        <w:jc w:val="left"/>
        <w:rPr>
          <w:rFonts w:ascii="Arial" w:hAnsi="Arial" w:cs="Arial"/>
          <w:szCs w:val="20"/>
          <w:lang w:val="en-US"/>
        </w:rPr>
      </w:pPr>
    </w:p>
    <w:p w:rsidR="001712A9" w:rsidRDefault="001712A9">
      <w:pPr>
        <w:rPr>
          <w:lang w:val="en-US"/>
        </w:rPr>
      </w:pPr>
      <w:r>
        <w:rPr>
          <w:lang w:val="en-US"/>
        </w:rPr>
        <w:t xml:space="preserve">This congress will be held on 22 and 23 October 2003, at </w:t>
      </w:r>
      <w:proofErr w:type="spellStart"/>
      <w:r>
        <w:rPr>
          <w:lang w:val="en-US"/>
        </w:rPr>
        <w:t>Roeterseiland</w:t>
      </w:r>
      <w:proofErr w:type="spellEnd"/>
      <w:r>
        <w:rPr>
          <w:lang w:val="en-US"/>
        </w:rPr>
        <w:t xml:space="preserve">, </w:t>
      </w:r>
      <w:smartTag w:uri="urn:schemas-microsoft-com:office:smarttags" w:element="City">
        <w:r>
          <w:rPr>
            <w:lang w:val="en-US"/>
          </w:rPr>
          <w:t>Amsterdam</w:t>
        </w:r>
      </w:smartTag>
      <w:r>
        <w:rPr>
          <w:lang w:val="en-US"/>
        </w:rPr>
        <w:t xml:space="preserve">, the </w:t>
      </w:r>
      <w:smartTag w:uri="urn:schemas-microsoft-com:office:smarttags" w:element="country-region">
        <w:smartTag w:uri="urn:schemas-microsoft-com:office:smarttags" w:element="place">
          <w:r>
            <w:rPr>
              <w:lang w:val="en-US"/>
            </w:rPr>
            <w:t>Netherlands</w:t>
          </w:r>
        </w:smartTag>
      </w:smartTag>
      <w:r>
        <w:rPr>
          <w:lang w:val="en-US"/>
        </w:rPr>
        <w:t xml:space="preserve">. The focus will be on the effects of global-local partnerships and agreements related to climate change and the international trade in forest products, being two topical aspects of </w:t>
      </w:r>
      <w:proofErr w:type="spellStart"/>
      <w:r>
        <w:rPr>
          <w:lang w:val="en-US"/>
        </w:rPr>
        <w:t>globalisation</w:t>
      </w:r>
      <w:proofErr w:type="spellEnd"/>
      <w:r>
        <w:rPr>
          <w:lang w:val="en-US"/>
        </w:rPr>
        <w:t xml:space="preserve"> with a potential impact on forest management and forest-related livelihoods. The first encompasses processes around the certification of timber and non-timber forest products, WTO, CITES and strategies to combat illegal logging. The second </w:t>
      </w:r>
      <w:proofErr w:type="spellStart"/>
      <w:r>
        <w:rPr>
          <w:lang w:val="en-US"/>
        </w:rPr>
        <w:t>centres</w:t>
      </w:r>
      <w:proofErr w:type="spellEnd"/>
      <w:r>
        <w:rPr>
          <w:lang w:val="en-US"/>
        </w:rPr>
        <w:t xml:space="preserve"> on developments around the </w:t>
      </w:r>
      <w:smartTag w:uri="urn:schemas-microsoft-com:office:smarttags" w:element="City">
        <w:smartTag w:uri="urn:schemas-microsoft-com:office:smarttags" w:element="place">
          <w:r>
            <w:rPr>
              <w:lang w:val="en-US"/>
            </w:rPr>
            <w:t>Kyoto</w:t>
          </w:r>
        </w:smartTag>
      </w:smartTag>
      <w:r>
        <w:rPr>
          <w:lang w:val="en-US"/>
        </w:rPr>
        <w:t xml:space="preserve"> protocol, such as the Clean Development Mechanism, Joint Implementation and the CO</w:t>
      </w:r>
      <w:r>
        <w:rPr>
          <w:vertAlign w:val="subscript"/>
          <w:lang w:val="en-US"/>
        </w:rPr>
        <w:t>2</w:t>
      </w:r>
      <w:r>
        <w:rPr>
          <w:lang w:val="en-US"/>
        </w:rPr>
        <w:t xml:space="preserve"> emissions trade. The objectives of the congress are:</w:t>
      </w:r>
    </w:p>
    <w:p w:rsidR="001712A9" w:rsidRDefault="001712A9">
      <w:pPr>
        <w:numPr>
          <w:ilvl w:val="0"/>
          <w:numId w:val="4"/>
        </w:numPr>
        <w:ind w:left="357" w:hanging="357"/>
        <w:rPr>
          <w:lang w:val="en-US"/>
        </w:rPr>
      </w:pPr>
      <w:r>
        <w:rPr>
          <w:lang w:val="en-US"/>
        </w:rPr>
        <w:t>to bring together current knowledge on and experience with international partnerships and their effects on tropical forest conservation, management and poverty alleviation;</w:t>
      </w:r>
    </w:p>
    <w:p w:rsidR="001712A9" w:rsidRDefault="001712A9">
      <w:pPr>
        <w:numPr>
          <w:ilvl w:val="0"/>
          <w:numId w:val="4"/>
        </w:numPr>
        <w:ind w:left="357" w:hanging="357"/>
        <w:rPr>
          <w:lang w:val="en-US"/>
        </w:rPr>
      </w:pPr>
      <w:r>
        <w:rPr>
          <w:lang w:val="en-US"/>
        </w:rPr>
        <w:t>to identify 'lessons learnt' and conditions for successful and effective multi-scale partnerships;</w:t>
      </w:r>
    </w:p>
    <w:p w:rsidR="001712A9" w:rsidRDefault="001712A9">
      <w:pPr>
        <w:numPr>
          <w:ilvl w:val="0"/>
          <w:numId w:val="4"/>
        </w:numPr>
        <w:ind w:left="357" w:hanging="357"/>
        <w:rPr>
          <w:lang w:val="en-US"/>
        </w:rPr>
      </w:pPr>
      <w:r>
        <w:rPr>
          <w:lang w:val="en-US"/>
        </w:rPr>
        <w:t>to discuss opportunities and bottlenecks in relation to multi-scale partnerships for the livelihoods of forest-dwelling people and communities at the forest fringe, including potential exclusion of stakeholders under the new management arrangements;</w:t>
      </w:r>
    </w:p>
    <w:p w:rsidR="001712A9" w:rsidRDefault="001712A9">
      <w:pPr>
        <w:numPr>
          <w:ilvl w:val="0"/>
          <w:numId w:val="4"/>
        </w:numPr>
        <w:rPr>
          <w:lang w:val="en-US"/>
        </w:rPr>
      </w:pPr>
      <w:r>
        <w:rPr>
          <w:lang w:val="en-US"/>
        </w:rPr>
        <w:lastRenderedPageBreak/>
        <w:t xml:space="preserve">to define recommendations for policy and research on tropical forest management in a </w:t>
      </w:r>
      <w:proofErr w:type="spellStart"/>
      <w:r>
        <w:rPr>
          <w:lang w:val="en-US"/>
        </w:rPr>
        <w:t>globalising</w:t>
      </w:r>
      <w:proofErr w:type="spellEnd"/>
      <w:r>
        <w:rPr>
          <w:lang w:val="en-US"/>
        </w:rPr>
        <w:t xml:space="preserve"> environment.</w:t>
      </w:r>
    </w:p>
    <w:p w:rsidR="001712A9" w:rsidRDefault="001712A9">
      <w:pPr>
        <w:pStyle w:val="Normal-firstlineindent"/>
        <w:rPr>
          <w:lang w:val="en-US"/>
        </w:rPr>
      </w:pPr>
      <w:r>
        <w:rPr>
          <w:lang w:val="en-US"/>
        </w:rPr>
        <w:t xml:space="preserve">The </w:t>
      </w:r>
      <w:proofErr w:type="spellStart"/>
      <w:r>
        <w:rPr>
          <w:lang w:val="en-US"/>
        </w:rPr>
        <w:t>organising</w:t>
      </w:r>
      <w:proofErr w:type="spellEnd"/>
      <w:r>
        <w:rPr>
          <w:lang w:val="en-US"/>
        </w:rPr>
        <w:t xml:space="preserve"> agencies are the Amsterdam Institute for Global Issues and Development Studies (AGIDS), Centre for Latin American Research and Documentation (CEDLA), Institute for Environmental Studies (IVM), Amsterdam Institute for International Development (AIID) and </w:t>
      </w:r>
      <w:proofErr w:type="spellStart"/>
      <w:r>
        <w:rPr>
          <w:lang w:val="en-US"/>
        </w:rPr>
        <w:t>Tropenbos</w:t>
      </w:r>
      <w:proofErr w:type="spellEnd"/>
      <w:r>
        <w:rPr>
          <w:lang w:val="en-US"/>
        </w:rPr>
        <w:t xml:space="preserve"> International (TBI).</w:t>
      </w:r>
    </w:p>
    <w:p w:rsidR="001712A9" w:rsidRDefault="001712A9">
      <w:pPr>
        <w:pStyle w:val="Normal-firstlineindent"/>
        <w:rPr>
          <w:lang w:val="en-US"/>
        </w:rPr>
      </w:pPr>
      <w:r>
        <w:rPr>
          <w:lang w:val="en-US"/>
        </w:rPr>
        <w:t xml:space="preserve">Registration information can be found at </w:t>
      </w:r>
      <w:hyperlink r:id="rId18" w:history="1">
        <w:r>
          <w:rPr>
            <w:rStyle w:val="Hyperlink"/>
          </w:rPr>
          <w:t>http://gp.fmg.uva.nl/agids</w:t>
        </w:r>
      </w:hyperlink>
      <w:r>
        <w:t xml:space="preserve"> and </w:t>
      </w:r>
      <w:hyperlink r:id="rId19" w:history="1">
        <w:r>
          <w:rPr>
            <w:rStyle w:val="Hyperlink"/>
          </w:rPr>
          <w:t>www.tropenbos.org</w:t>
        </w:r>
      </w:hyperlink>
      <w:r>
        <w:t xml:space="preserve">. </w:t>
      </w:r>
      <w:r>
        <w:rPr>
          <w:lang w:val="en-US"/>
        </w:rPr>
        <w:t xml:space="preserve">The contact person is </w:t>
      </w:r>
      <w:proofErr w:type="spellStart"/>
      <w:r>
        <w:rPr>
          <w:lang w:val="en-US"/>
        </w:rPr>
        <w:t>Dr</w:t>
      </w:r>
      <w:proofErr w:type="spellEnd"/>
      <w:r>
        <w:rPr>
          <w:lang w:val="en-US"/>
        </w:rPr>
        <w:t xml:space="preserve"> </w:t>
      </w:r>
      <w:proofErr w:type="spellStart"/>
      <w:r>
        <w:rPr>
          <w:lang w:val="en-US"/>
        </w:rPr>
        <w:t>Mirjam</w:t>
      </w:r>
      <w:proofErr w:type="spellEnd"/>
      <w:r>
        <w:rPr>
          <w:lang w:val="en-US"/>
        </w:rPr>
        <w:t xml:space="preserve"> A.F. </w:t>
      </w:r>
      <w:proofErr w:type="spellStart"/>
      <w:r>
        <w:rPr>
          <w:lang w:val="en-US"/>
        </w:rPr>
        <w:t>Ros</w:t>
      </w:r>
      <w:proofErr w:type="spellEnd"/>
      <w:r>
        <w:rPr>
          <w:lang w:val="en-US"/>
        </w:rPr>
        <w:t xml:space="preserve">-Tonen, of the Amsterdam Research Institute for Global Issue and Development Studies (AGIDS), </w:t>
      </w:r>
      <w:smartTag w:uri="urn:schemas-microsoft-com:office:smarttags" w:element="place">
        <w:smartTag w:uri="urn:schemas-microsoft-com:office:smarttags" w:element="PlaceType">
          <w:r>
            <w:rPr>
              <w:lang w:val="en-US"/>
            </w:rPr>
            <w:t>University</w:t>
          </w:r>
        </w:smartTag>
        <w:r>
          <w:rPr>
            <w:lang w:val="en-US"/>
          </w:rPr>
          <w:t xml:space="preserve"> of </w:t>
        </w:r>
        <w:smartTag w:uri="urn:schemas-microsoft-com:office:smarttags" w:element="PlaceName">
          <w:r>
            <w:rPr>
              <w:lang w:val="en-US"/>
            </w:rPr>
            <w:t>Amsterdam</w:t>
          </w:r>
        </w:smartTag>
      </w:smartTag>
      <w:r>
        <w:rPr>
          <w:lang w:val="en-US"/>
        </w:rPr>
        <w:t xml:space="preserve">. Email: </w:t>
      </w:r>
      <w:hyperlink r:id="rId20" w:history="1">
        <w:r>
          <w:rPr>
            <w:rStyle w:val="Hyperlink"/>
            <w:lang w:val="en-US"/>
          </w:rPr>
          <w:t>m.ros@frw.uva.nl</w:t>
        </w:r>
      </w:hyperlink>
      <w:r>
        <w:rPr>
          <w:lang w:val="en-US"/>
        </w:rPr>
        <w:t>.</w:t>
      </w:r>
    </w:p>
    <w:p w:rsidR="001712A9" w:rsidRDefault="004767B5">
      <w:pPr>
        <w:pStyle w:val="backtothetop"/>
      </w:pPr>
      <w:hyperlink w:anchor="_Contents" w:history="1">
        <w:r w:rsidR="001712A9">
          <w:rPr>
            <w:rStyle w:val="Hyperlink"/>
          </w:rPr>
          <w:t>Back to List of Contents</w:t>
        </w:r>
      </w:hyperlink>
    </w:p>
    <w:p w:rsidR="001712A9" w:rsidRDefault="001712A9">
      <w:pPr>
        <w:pStyle w:val="Heading1"/>
      </w:pPr>
      <w:bookmarkStart w:id="15" w:name="_Toc29787290"/>
      <w:r>
        <w:t xml:space="preserve">International Conference: </w:t>
      </w:r>
      <w:r>
        <w:br/>
        <w:t>Forest Research Crossing Borders</w:t>
      </w:r>
      <w:bookmarkEnd w:id="15"/>
    </w:p>
    <w:p w:rsidR="001712A9" w:rsidRDefault="001712A9">
      <w:pPr>
        <w:rPr>
          <w:lang w:val="en-US"/>
        </w:rPr>
      </w:pPr>
      <w:r>
        <w:rPr>
          <w:lang w:val="en-US"/>
        </w:rPr>
        <w:t>In 2003 the European Forest Institute (EFI) will celebrate its 10th</w:t>
      </w:r>
      <w:r>
        <w:rPr>
          <w:sz w:val="11"/>
          <w:szCs w:val="11"/>
          <w:lang w:val="en-US"/>
        </w:rPr>
        <w:t xml:space="preserve"> </w:t>
      </w:r>
      <w:r>
        <w:rPr>
          <w:lang w:val="en-US"/>
        </w:rPr>
        <w:t xml:space="preserve">anniversary of pan-European forest research. To mark the occasion, a two-day scientific seminar, the Annual Conference and a post-conference excursion to Russia are being </w:t>
      </w:r>
      <w:proofErr w:type="spellStart"/>
      <w:r>
        <w:rPr>
          <w:lang w:val="en-US"/>
        </w:rPr>
        <w:t>organised</w:t>
      </w:r>
      <w:proofErr w:type="spellEnd"/>
      <w:r>
        <w:rPr>
          <w:lang w:val="en-US"/>
        </w:rPr>
        <w:t xml:space="preserve">. These events will take place from 28 August to 1 September 2003 at </w:t>
      </w:r>
      <w:proofErr w:type="spellStart"/>
      <w:r>
        <w:t>Joensuu</w:t>
      </w:r>
      <w:proofErr w:type="spellEnd"/>
      <w:r>
        <w:t>, Finland and St. Petersburg, Russian Federation</w:t>
      </w:r>
      <w:r>
        <w:rPr>
          <w:lang w:val="en-US"/>
        </w:rPr>
        <w:t>.</w:t>
      </w:r>
    </w:p>
    <w:p w:rsidR="001712A9" w:rsidRDefault="001712A9">
      <w:pPr>
        <w:rPr>
          <w:lang w:val="en-US"/>
        </w:rPr>
      </w:pPr>
      <w:r>
        <w:rPr>
          <w:lang w:val="en-US"/>
        </w:rPr>
        <w:t>Topics of the scientific seminar on ‘Forest Research Crossing Borders’ include:</w:t>
      </w:r>
    </w:p>
    <w:p w:rsidR="001712A9" w:rsidRDefault="001712A9">
      <w:pPr>
        <w:numPr>
          <w:ilvl w:val="0"/>
          <w:numId w:val="13"/>
        </w:numPr>
        <w:rPr>
          <w:lang w:val="en-US"/>
        </w:rPr>
      </w:pPr>
      <w:r>
        <w:rPr>
          <w:lang w:val="en-US"/>
        </w:rPr>
        <w:t>Role of forests in creating welfare;</w:t>
      </w:r>
    </w:p>
    <w:p w:rsidR="001712A9" w:rsidRDefault="001712A9">
      <w:pPr>
        <w:numPr>
          <w:ilvl w:val="0"/>
          <w:numId w:val="13"/>
        </w:numPr>
        <w:rPr>
          <w:lang w:val="en-US"/>
        </w:rPr>
      </w:pPr>
      <w:r>
        <w:rPr>
          <w:lang w:val="en-US"/>
        </w:rPr>
        <w:t>Does global change hamper sustainable forest management?</w:t>
      </w:r>
    </w:p>
    <w:p w:rsidR="001712A9" w:rsidRDefault="001712A9">
      <w:pPr>
        <w:numPr>
          <w:ilvl w:val="0"/>
          <w:numId w:val="13"/>
        </w:numPr>
        <w:rPr>
          <w:lang w:val="en-US"/>
        </w:rPr>
      </w:pPr>
      <w:r>
        <w:rPr>
          <w:lang w:val="en-US"/>
        </w:rPr>
        <w:t>Forests in the pressure global policy-making;</w:t>
      </w:r>
    </w:p>
    <w:p w:rsidR="001712A9" w:rsidRDefault="001712A9">
      <w:pPr>
        <w:numPr>
          <w:ilvl w:val="0"/>
          <w:numId w:val="13"/>
        </w:numPr>
        <w:rPr>
          <w:lang w:val="en-US"/>
        </w:rPr>
      </w:pPr>
      <w:r>
        <w:rPr>
          <w:lang w:val="en-US"/>
        </w:rPr>
        <w:t>Better information for good governance of forests.</w:t>
      </w:r>
    </w:p>
    <w:p w:rsidR="001712A9" w:rsidRDefault="001712A9">
      <w:pPr>
        <w:rPr>
          <w:lang w:val="en-US"/>
        </w:rPr>
      </w:pPr>
      <w:r>
        <w:rPr>
          <w:lang w:val="en-US"/>
        </w:rPr>
        <w:t>At the end of the seminar, the following questions will be discussed and debated:</w:t>
      </w:r>
    </w:p>
    <w:p w:rsidR="001712A9" w:rsidRDefault="001712A9">
      <w:pPr>
        <w:numPr>
          <w:ilvl w:val="0"/>
          <w:numId w:val="3"/>
        </w:numPr>
        <w:rPr>
          <w:lang w:val="en-US"/>
        </w:rPr>
      </w:pPr>
      <w:r>
        <w:rPr>
          <w:lang w:val="en-US"/>
        </w:rPr>
        <w:t>how to respond to emerging research needs in Europe?</w:t>
      </w:r>
    </w:p>
    <w:p w:rsidR="001712A9" w:rsidRDefault="001712A9">
      <w:pPr>
        <w:numPr>
          <w:ilvl w:val="0"/>
          <w:numId w:val="3"/>
        </w:numPr>
        <w:rPr>
          <w:lang w:val="en-US"/>
        </w:rPr>
      </w:pPr>
      <w:r>
        <w:rPr>
          <w:lang w:val="en-US"/>
        </w:rPr>
        <w:t>what do we want from our forests?</w:t>
      </w:r>
    </w:p>
    <w:p w:rsidR="001712A9" w:rsidRDefault="001712A9">
      <w:pPr>
        <w:numPr>
          <w:ilvl w:val="0"/>
          <w:numId w:val="3"/>
        </w:numPr>
        <w:rPr>
          <w:lang w:val="en-US"/>
        </w:rPr>
      </w:pPr>
      <w:r>
        <w:rPr>
          <w:lang w:val="en-US"/>
        </w:rPr>
        <w:t>what kind of research does this imply?</w:t>
      </w:r>
    </w:p>
    <w:p w:rsidR="001712A9" w:rsidRDefault="001712A9">
      <w:pPr>
        <w:numPr>
          <w:ilvl w:val="0"/>
          <w:numId w:val="3"/>
        </w:numPr>
        <w:rPr>
          <w:lang w:val="en-US"/>
        </w:rPr>
      </w:pPr>
      <w:r>
        <w:rPr>
          <w:lang w:val="en-US"/>
        </w:rPr>
        <w:t xml:space="preserve">how should research be </w:t>
      </w:r>
      <w:proofErr w:type="spellStart"/>
      <w:r>
        <w:rPr>
          <w:lang w:val="en-US"/>
        </w:rPr>
        <w:t>organised</w:t>
      </w:r>
      <w:proofErr w:type="spellEnd"/>
      <w:r>
        <w:rPr>
          <w:lang w:val="en-US"/>
        </w:rPr>
        <w:t xml:space="preserve"> to best respond to the needs?</w:t>
      </w:r>
    </w:p>
    <w:p w:rsidR="001712A9" w:rsidRDefault="001712A9">
      <w:pPr>
        <w:rPr>
          <w:lang w:val="en-US"/>
        </w:rPr>
      </w:pPr>
      <w:r>
        <w:rPr>
          <w:lang w:val="en-US"/>
        </w:rPr>
        <w:t xml:space="preserve">Confirmed keynote speakers include </w:t>
      </w:r>
      <w:proofErr w:type="spellStart"/>
      <w:r>
        <w:rPr>
          <w:lang w:val="en-US"/>
        </w:rPr>
        <w:t>Björn</w:t>
      </w:r>
      <w:proofErr w:type="spellEnd"/>
      <w:r>
        <w:rPr>
          <w:lang w:val="en-US"/>
        </w:rPr>
        <w:t xml:space="preserve"> </w:t>
      </w:r>
      <w:proofErr w:type="spellStart"/>
      <w:r>
        <w:rPr>
          <w:lang w:val="en-US"/>
        </w:rPr>
        <w:t>Hägglund</w:t>
      </w:r>
      <w:proofErr w:type="spellEnd"/>
      <w:r>
        <w:rPr>
          <w:lang w:val="en-US"/>
        </w:rPr>
        <w:t xml:space="preserve">, Deputy CEO of </w:t>
      </w:r>
      <w:proofErr w:type="spellStart"/>
      <w:r>
        <w:rPr>
          <w:lang w:val="en-US"/>
        </w:rPr>
        <w:t>StoraEnso</w:t>
      </w:r>
      <w:proofErr w:type="spellEnd"/>
      <w:r>
        <w:rPr>
          <w:lang w:val="en-US"/>
        </w:rPr>
        <w:t xml:space="preserve">, Sweden; David </w:t>
      </w:r>
      <w:proofErr w:type="spellStart"/>
      <w:r>
        <w:rPr>
          <w:lang w:val="en-US"/>
        </w:rPr>
        <w:t>Kaimovitz</w:t>
      </w:r>
      <w:proofErr w:type="spellEnd"/>
      <w:r>
        <w:rPr>
          <w:lang w:val="en-US"/>
        </w:rPr>
        <w:t xml:space="preserve">, Director, Center of International Forest Research (CIFOR); and </w:t>
      </w:r>
      <w:proofErr w:type="spellStart"/>
      <w:r>
        <w:rPr>
          <w:lang w:val="en-US"/>
        </w:rPr>
        <w:t>Risto</w:t>
      </w:r>
      <w:proofErr w:type="spellEnd"/>
      <w:r>
        <w:rPr>
          <w:lang w:val="en-US"/>
        </w:rPr>
        <w:t xml:space="preserve"> </w:t>
      </w:r>
      <w:proofErr w:type="spellStart"/>
      <w:r>
        <w:rPr>
          <w:lang w:val="en-US"/>
        </w:rPr>
        <w:t>Seppälä</w:t>
      </w:r>
      <w:proofErr w:type="spellEnd"/>
      <w:r>
        <w:rPr>
          <w:lang w:val="en-US"/>
        </w:rPr>
        <w:t>, President of IUFRO, Finland.</w:t>
      </w:r>
    </w:p>
    <w:p w:rsidR="001712A9" w:rsidRDefault="001712A9">
      <w:pPr>
        <w:rPr>
          <w:lang w:val="en-US"/>
        </w:rPr>
      </w:pPr>
      <w:r>
        <w:rPr>
          <w:lang w:val="en-US"/>
        </w:rPr>
        <w:lastRenderedPageBreak/>
        <w:t xml:space="preserve">The excursion to St. Petersburg, Russian Federation, provides the opportunity to visit Russian forests, learn about the management of this vast forest reserve and to meet Russian forest researchers, policy-makers and forest managers. </w:t>
      </w:r>
    </w:p>
    <w:p w:rsidR="001712A9" w:rsidRDefault="001712A9">
      <w:r>
        <w:t xml:space="preserve">More information can be found at </w:t>
      </w:r>
      <w:hyperlink r:id="rId21" w:history="1">
        <w:r>
          <w:rPr>
            <w:rStyle w:val="Hyperlink"/>
          </w:rPr>
          <w:t>www.efi.fi/events</w:t>
        </w:r>
      </w:hyperlink>
    </w:p>
    <w:p w:rsidR="001712A9" w:rsidRDefault="004767B5">
      <w:pPr>
        <w:pStyle w:val="backtothetop"/>
      </w:pPr>
      <w:hyperlink w:anchor="_Contents" w:history="1">
        <w:r w:rsidR="001712A9">
          <w:rPr>
            <w:rStyle w:val="Hyperlink"/>
          </w:rPr>
          <w:t>Back to List of Contents</w:t>
        </w:r>
      </w:hyperlink>
    </w:p>
    <w:p w:rsidR="001712A9" w:rsidRDefault="001712A9">
      <w:pPr>
        <w:pStyle w:val="Heading1"/>
        <w:rPr>
          <w:lang w:val="en-US"/>
        </w:rPr>
      </w:pPr>
      <w:bookmarkStart w:id="16" w:name="_Toc29787291"/>
      <w:r>
        <w:rPr>
          <w:lang w:val="en-US"/>
        </w:rPr>
        <w:t>International Conference:</w:t>
      </w:r>
      <w:r>
        <w:rPr>
          <w:lang w:val="en-US"/>
        </w:rPr>
        <w:br/>
        <w:t>Issues of hardwood research and utilization in Europe</w:t>
      </w:r>
      <w:bookmarkEnd w:id="16"/>
    </w:p>
    <w:p w:rsidR="001712A9" w:rsidRDefault="001712A9">
      <w:pPr>
        <w:rPr>
          <w:lang w:val="en-US"/>
        </w:rPr>
      </w:pPr>
      <w:r>
        <w:rPr>
          <w:lang w:val="en-US"/>
        </w:rPr>
        <w:t>This conference will be held on 25 and 26 September 2003, at the University of West Hungary, Sopron. The emphasis of the conference will be on new challenges in hardwood utilization and on hardwood-related research. The event will feature international speakers, with technical and poster presentations on various topics including:</w:t>
      </w:r>
    </w:p>
    <w:p w:rsidR="001712A9" w:rsidRDefault="001712A9">
      <w:pPr>
        <w:numPr>
          <w:ilvl w:val="0"/>
          <w:numId w:val="1"/>
        </w:numPr>
        <w:ind w:left="357" w:hanging="357"/>
        <w:rPr>
          <w:lang w:val="en-US"/>
        </w:rPr>
      </w:pPr>
      <w:r>
        <w:rPr>
          <w:lang w:val="en-US"/>
        </w:rPr>
        <w:t>Breeding and cloning of hardwoods;</w:t>
      </w:r>
    </w:p>
    <w:p w:rsidR="001712A9" w:rsidRDefault="001712A9">
      <w:pPr>
        <w:numPr>
          <w:ilvl w:val="0"/>
          <w:numId w:val="1"/>
        </w:numPr>
        <w:ind w:left="357" w:hanging="357"/>
        <w:rPr>
          <w:lang w:val="en-US"/>
        </w:rPr>
      </w:pPr>
      <w:r>
        <w:rPr>
          <w:lang w:val="en-US"/>
        </w:rPr>
        <w:t>Hardwood processing;</w:t>
      </w:r>
    </w:p>
    <w:p w:rsidR="001712A9" w:rsidRDefault="001712A9">
      <w:pPr>
        <w:numPr>
          <w:ilvl w:val="0"/>
          <w:numId w:val="1"/>
        </w:numPr>
        <w:ind w:left="357" w:hanging="357"/>
        <w:rPr>
          <w:lang w:val="en-US"/>
        </w:rPr>
      </w:pPr>
      <w:r>
        <w:rPr>
          <w:lang w:val="en-US"/>
        </w:rPr>
        <w:t>Biodegradation and preservation;</w:t>
      </w:r>
    </w:p>
    <w:p w:rsidR="001712A9" w:rsidRDefault="001712A9">
      <w:pPr>
        <w:numPr>
          <w:ilvl w:val="0"/>
          <w:numId w:val="1"/>
        </w:numPr>
        <w:ind w:left="357" w:hanging="357"/>
        <w:rPr>
          <w:lang w:val="en-US"/>
        </w:rPr>
      </w:pPr>
      <w:r>
        <w:rPr>
          <w:lang w:val="en-US"/>
        </w:rPr>
        <w:t>Hardwood utilization in composite materials;</w:t>
      </w:r>
    </w:p>
    <w:p w:rsidR="001712A9" w:rsidRDefault="001712A9">
      <w:pPr>
        <w:numPr>
          <w:ilvl w:val="0"/>
          <w:numId w:val="1"/>
        </w:numPr>
        <w:rPr>
          <w:lang w:val="en-US"/>
        </w:rPr>
      </w:pPr>
      <w:r>
        <w:rPr>
          <w:lang w:val="en-US"/>
        </w:rPr>
        <w:t>Product design and marketing.</w:t>
      </w:r>
    </w:p>
    <w:p w:rsidR="001712A9" w:rsidRDefault="001712A9">
      <w:pPr>
        <w:rPr>
          <w:lang w:val="en-US"/>
        </w:rPr>
      </w:pPr>
      <w:r>
        <w:rPr>
          <w:lang w:val="en-US"/>
        </w:rPr>
        <w:t xml:space="preserve">For further information, visit the website </w:t>
      </w:r>
      <w:hyperlink r:id="rId22" w:history="1">
        <w:r>
          <w:rPr>
            <w:rStyle w:val="Hyperlink"/>
            <w:lang w:val="en-US"/>
          </w:rPr>
          <w:t>www.nyme.hu</w:t>
        </w:r>
      </w:hyperlink>
      <w:r>
        <w:rPr>
          <w:lang w:val="en-US"/>
        </w:rPr>
        <w:t>.</w:t>
      </w:r>
    </w:p>
    <w:p w:rsidR="001712A9" w:rsidRDefault="004767B5">
      <w:pPr>
        <w:pStyle w:val="backtothetop"/>
      </w:pPr>
      <w:hyperlink w:anchor="_Contents" w:history="1">
        <w:r w:rsidR="001712A9">
          <w:rPr>
            <w:rStyle w:val="Hyperlink"/>
          </w:rPr>
          <w:t>Back to List of Contents</w:t>
        </w:r>
      </w:hyperlink>
    </w:p>
    <w:p w:rsidR="001712A9" w:rsidRDefault="001712A9">
      <w:pPr>
        <w:pStyle w:val="Heading1"/>
        <w:rPr>
          <w:lang w:val="en-US"/>
        </w:rPr>
      </w:pPr>
      <w:bookmarkStart w:id="17" w:name="_Toc29787292"/>
      <w:r>
        <w:rPr>
          <w:lang w:val="en-US"/>
        </w:rPr>
        <w:t>International seminar:</w:t>
      </w:r>
      <w:r>
        <w:rPr>
          <w:lang w:val="en-US"/>
        </w:rPr>
        <w:br/>
        <w:t>Investment opportunities in the Australian forest sector</w:t>
      </w:r>
      <w:bookmarkEnd w:id="17"/>
    </w:p>
    <w:p w:rsidR="001712A9" w:rsidRDefault="001712A9">
      <w:r>
        <w:rPr>
          <w:lang w:val="en-US"/>
        </w:rPr>
        <w:t xml:space="preserve">AUSTIMBER 2004 will be held at </w:t>
      </w:r>
      <w:proofErr w:type="spellStart"/>
      <w:r>
        <w:rPr>
          <w:lang w:val="en-US"/>
        </w:rPr>
        <w:t>Albury</w:t>
      </w:r>
      <w:proofErr w:type="spellEnd"/>
      <w:r>
        <w:rPr>
          <w:lang w:val="en-US"/>
        </w:rPr>
        <w:t xml:space="preserve">, New South Wales, Australia, from 29 March to 3 April 2004. </w:t>
      </w:r>
      <w:r>
        <w:t xml:space="preserve">An international seminar examining investment opportunities in the Australian forest sector will be held as part of </w:t>
      </w:r>
      <w:proofErr w:type="spellStart"/>
      <w:r>
        <w:t>AusTimber</w:t>
      </w:r>
      <w:proofErr w:type="spellEnd"/>
      <w:r>
        <w:t xml:space="preserve"> 2004, on 1 April 2004. Presenters will be drawn from leading global and Australian companies, including companies and organisations operating in Asia, financiers, experienced investors and leading Australian and New Zealand companies.  Key issues to be considered at the seminar include economic drivers for the forest sector in the Asia-Pacific; Asian investment opportunities; financing opportunities for forest sector investment; environmental perspectives; retailer perspectives; and opportunities for Australian and New Zealand investors.</w:t>
      </w:r>
    </w:p>
    <w:p w:rsidR="001712A9" w:rsidRDefault="001712A9">
      <w:pPr>
        <w:pStyle w:val="BodyText"/>
      </w:pPr>
      <w:r>
        <w:t xml:space="preserve">For further information visit the website </w:t>
      </w:r>
      <w:hyperlink r:id="rId23" w:history="1">
        <w:r>
          <w:rPr>
            <w:rStyle w:val="Hyperlink"/>
          </w:rPr>
          <w:t>http://www.austimber2004.com</w:t>
        </w:r>
      </w:hyperlink>
    </w:p>
    <w:p w:rsidR="001712A9" w:rsidRDefault="004767B5">
      <w:pPr>
        <w:pStyle w:val="backtothetop"/>
      </w:pPr>
      <w:hyperlink w:anchor="_Contents" w:history="1">
        <w:r w:rsidR="001712A9">
          <w:rPr>
            <w:rStyle w:val="Hyperlink"/>
          </w:rPr>
          <w:t>Back to List of Contents</w:t>
        </w:r>
      </w:hyperlink>
    </w:p>
    <w:sectPr w:rsidR="001712A9">
      <w:type w:val="continuous"/>
      <w:pgSz w:w="11906" w:h="16838" w:code="9"/>
      <w:pgMar w:top="1134" w:right="1466" w:bottom="1418" w:left="1134" w:header="567" w:footer="567" w:gutter="0"/>
      <w:cols w:num="2" w:sep="1"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7B5" w:rsidRDefault="004767B5">
      <w:r>
        <w:separator/>
      </w:r>
    </w:p>
  </w:endnote>
  <w:endnote w:type="continuationSeparator" w:id="0">
    <w:p w:rsidR="004767B5" w:rsidRDefault="00476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pprplGoth BT">
    <w:altName w:val="Arial"/>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2A9" w:rsidRDefault="001712A9">
    <w:pPr>
      <w:pStyle w:val="Footer"/>
      <w:tabs>
        <w:tab w:val="clear" w:pos="4153"/>
        <w:tab w:val="clear" w:pos="8306"/>
        <w:tab w:val="center" w:pos="4860"/>
        <w:tab w:val="right" w:pos="9540"/>
      </w:tabs>
      <w:rPr>
        <w:rFonts w:ascii="Arial" w:hAnsi="Arial" w:cs="Arial"/>
        <w:sz w:val="18"/>
      </w:rPr>
    </w:pPr>
    <w:r>
      <w:rPr>
        <w:rFonts w:ascii="Arial" w:hAnsi="Arial" w:cs="Arial"/>
        <w:sz w:val="18"/>
      </w:rPr>
      <w:t>© COFORD 2003</w:t>
    </w:r>
    <w:r>
      <w:rPr>
        <w:rFonts w:ascii="Arial" w:hAnsi="Arial" w:cs="Arial"/>
        <w:sz w:val="18"/>
      </w:rPr>
      <w:tab/>
    </w:r>
    <w:r>
      <w:rPr>
        <w:rFonts w:ascii="Arial" w:hAnsi="Arial" w:cs="Arial"/>
        <w:sz w:val="18"/>
        <w:lang w:val="en-US"/>
      </w:rPr>
      <w:t xml:space="preserve">Page </w:t>
    </w:r>
    <w:r>
      <w:rPr>
        <w:rFonts w:ascii="Arial" w:hAnsi="Arial" w:cs="Arial"/>
        <w:sz w:val="18"/>
        <w:lang w:val="en-US"/>
      </w:rPr>
      <w:fldChar w:fldCharType="begin"/>
    </w:r>
    <w:r>
      <w:rPr>
        <w:rFonts w:ascii="Arial" w:hAnsi="Arial" w:cs="Arial"/>
        <w:sz w:val="18"/>
        <w:lang w:val="en-US"/>
      </w:rPr>
      <w:instrText xml:space="preserve"> PAGE </w:instrText>
    </w:r>
    <w:r>
      <w:rPr>
        <w:rFonts w:ascii="Arial" w:hAnsi="Arial" w:cs="Arial"/>
        <w:sz w:val="18"/>
        <w:lang w:val="en-US"/>
      </w:rPr>
      <w:fldChar w:fldCharType="separate"/>
    </w:r>
    <w:r w:rsidR="00BC2D9A">
      <w:rPr>
        <w:rFonts w:ascii="Arial" w:hAnsi="Arial" w:cs="Arial"/>
        <w:noProof/>
        <w:sz w:val="18"/>
        <w:lang w:val="en-US"/>
      </w:rPr>
      <w:t>1</w:t>
    </w:r>
    <w:r>
      <w:rPr>
        <w:rFonts w:ascii="Arial" w:hAnsi="Arial" w:cs="Arial"/>
        <w:sz w:val="18"/>
        <w:lang w:val="en-US"/>
      </w:rPr>
      <w:fldChar w:fldCharType="end"/>
    </w:r>
    <w:r>
      <w:rPr>
        <w:rFonts w:ascii="Arial" w:hAnsi="Arial" w:cs="Arial"/>
        <w:sz w:val="18"/>
        <w:lang w:val="en-US"/>
      </w:rPr>
      <w:t xml:space="preserve"> of </w:t>
    </w:r>
    <w:r>
      <w:rPr>
        <w:rFonts w:ascii="Arial" w:hAnsi="Arial" w:cs="Arial"/>
        <w:sz w:val="18"/>
        <w:lang w:val="en-US"/>
      </w:rPr>
      <w:fldChar w:fldCharType="begin"/>
    </w:r>
    <w:r>
      <w:rPr>
        <w:rFonts w:ascii="Arial" w:hAnsi="Arial" w:cs="Arial"/>
        <w:sz w:val="18"/>
        <w:lang w:val="en-US"/>
      </w:rPr>
      <w:instrText xml:space="preserve"> NUMPAGES </w:instrText>
    </w:r>
    <w:r>
      <w:rPr>
        <w:rFonts w:ascii="Arial" w:hAnsi="Arial" w:cs="Arial"/>
        <w:sz w:val="18"/>
        <w:lang w:val="en-US"/>
      </w:rPr>
      <w:fldChar w:fldCharType="separate"/>
    </w:r>
    <w:r w:rsidR="00BC2D9A">
      <w:rPr>
        <w:rFonts w:ascii="Arial" w:hAnsi="Arial" w:cs="Arial"/>
        <w:noProof/>
        <w:sz w:val="18"/>
        <w:lang w:val="en-US"/>
      </w:rPr>
      <w:t>7</w:t>
    </w:r>
    <w:r>
      <w:rPr>
        <w:rFonts w:ascii="Arial" w:hAnsi="Arial" w:cs="Arial"/>
        <w:sz w:val="18"/>
        <w:lang w:val="en-US"/>
      </w:rPr>
      <w:fldChar w:fldCharType="end"/>
    </w:r>
    <w:r>
      <w:rPr>
        <w:rFonts w:ascii="Arial" w:hAnsi="Arial" w:cs="Arial"/>
        <w:sz w:val="18"/>
      </w:rPr>
      <w:tab/>
      <w:t>January 2003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7B5" w:rsidRDefault="004767B5">
      <w:r>
        <w:separator/>
      </w:r>
    </w:p>
  </w:footnote>
  <w:footnote w:type="continuationSeparator" w:id="0">
    <w:p w:rsidR="004767B5" w:rsidRDefault="004767B5">
      <w:r>
        <w:continuationSeparator/>
      </w:r>
    </w:p>
  </w:footnote>
  <w:footnote w:id="1">
    <w:p w:rsidR="001712A9" w:rsidRDefault="001712A9">
      <w:pPr>
        <w:rPr>
          <w:sz w:val="16"/>
          <w:lang w:val="en-GB"/>
        </w:rPr>
      </w:pPr>
      <w:r>
        <w:rPr>
          <w:rStyle w:val="FootnoteReference"/>
          <w:sz w:val="16"/>
        </w:rPr>
        <w:footnoteRef/>
      </w:r>
      <w:r>
        <w:rPr>
          <w:sz w:val="16"/>
        </w:rPr>
        <w:t xml:space="preserve"> The IPCC was established by the World Meteorological Organization (WMO) and the United Nations Environment Programme (UNEP) in 1988. Its main objective is to assess scientific, technical and socio-economic information relevant to the understanding of human-induced climate change, potential impacts of climate change and options for mitigation and adaptation. The IPCC has completed three assessment reports, developed methodology guidelines for national greenhouse gas inventories, special reports and technical papers. </w:t>
      </w:r>
    </w:p>
    <w:p w:rsidR="001712A9" w:rsidRDefault="001712A9">
      <w:pPr>
        <w:pStyle w:val="FootnoteText"/>
        <w:rPr>
          <w:sz w:val="16"/>
        </w:rPr>
      </w:pPr>
    </w:p>
  </w:footnote>
  <w:footnote w:id="2">
    <w:p w:rsidR="001712A9" w:rsidRDefault="001712A9">
      <w:pPr>
        <w:pStyle w:val="FootnoteText"/>
        <w:jc w:val="both"/>
        <w:rPr>
          <w:sz w:val="16"/>
        </w:rPr>
      </w:pPr>
      <w:r>
        <w:rPr>
          <w:rStyle w:val="FootnoteReference"/>
          <w:sz w:val="16"/>
        </w:rPr>
        <w:footnoteRef/>
      </w:r>
      <w:r>
        <w:rPr>
          <w:sz w:val="16"/>
        </w:rPr>
        <w:t xml:space="preserve"> Article 3.3 is afforestation, reforestation and deforestation since 1990, Article 3.4 is forest management, Article 6 is joint implementation and Article 12 is the clean development mechanism.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74554"/>
    <w:multiLevelType w:val="hybridMultilevel"/>
    <w:tmpl w:val="E5D82DCA"/>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3F13DC1"/>
    <w:multiLevelType w:val="hybridMultilevel"/>
    <w:tmpl w:val="A5D696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5C90160"/>
    <w:multiLevelType w:val="hybridMultilevel"/>
    <w:tmpl w:val="C024C64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89F30B5"/>
    <w:multiLevelType w:val="hybridMultilevel"/>
    <w:tmpl w:val="BB6C97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35943B66"/>
    <w:multiLevelType w:val="hybridMultilevel"/>
    <w:tmpl w:val="0B7A9C34"/>
    <w:lvl w:ilvl="0" w:tplc="04090001">
      <w:start w:val="1"/>
      <w:numFmt w:val="bullet"/>
      <w:lvlText w:val=""/>
      <w:lvlJc w:val="left"/>
      <w:pPr>
        <w:tabs>
          <w:tab w:val="num" w:pos="360"/>
        </w:tabs>
        <w:ind w:left="360" w:hanging="360"/>
      </w:pPr>
      <w:rPr>
        <w:rFonts w:ascii="Symbol" w:hAnsi="Symbol" w:hint="default"/>
      </w:rPr>
    </w:lvl>
    <w:lvl w:ilvl="1" w:tplc="4878716A">
      <w:numFmt w:val="bullet"/>
      <w:lvlText w:val=""/>
      <w:lvlJc w:val="left"/>
      <w:pPr>
        <w:tabs>
          <w:tab w:val="num" w:pos="1440"/>
        </w:tabs>
        <w:ind w:left="1440" w:hanging="720"/>
      </w:pPr>
      <w:rPr>
        <w:rFonts w:ascii="Symbol" w:eastAsia="Times New Roman" w:hAnsi="Symbol"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500758B4"/>
    <w:multiLevelType w:val="hybridMultilevel"/>
    <w:tmpl w:val="5602F6A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
    <w:nsid w:val="5BFD38CB"/>
    <w:multiLevelType w:val="hybridMultilevel"/>
    <w:tmpl w:val="26A4D8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5FA456D9"/>
    <w:multiLevelType w:val="hybridMultilevel"/>
    <w:tmpl w:val="F3FA6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6FB1221D"/>
    <w:multiLevelType w:val="hybridMultilevel"/>
    <w:tmpl w:val="EBEEA9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7B27694F"/>
    <w:multiLevelType w:val="hybridMultilevel"/>
    <w:tmpl w:val="93D4A8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7E3E65F3"/>
    <w:multiLevelType w:val="hybridMultilevel"/>
    <w:tmpl w:val="DD405D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9"/>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0"/>
  </w:num>
  <w:num w:numId="10">
    <w:abstractNumId w:val="2"/>
  </w:num>
  <w:num w:numId="11">
    <w:abstractNumId w:val="7"/>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2A9"/>
    <w:rsid w:val="001712A9"/>
    <w:rsid w:val="002B7961"/>
    <w:rsid w:val="004767B5"/>
    <w:rsid w:val="00BC2D9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B04A1553-39C3-4556-ACBC-D504D2458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uto"/>
      <w:jc w:val="both"/>
    </w:pPr>
    <w:rPr>
      <w:szCs w:val="24"/>
      <w:lang w:eastAsia="en-US"/>
    </w:rPr>
  </w:style>
  <w:style w:type="paragraph" w:styleId="Heading1">
    <w:name w:val="heading 1"/>
    <w:basedOn w:val="Normal"/>
    <w:next w:val="Normal"/>
    <w:qFormat/>
    <w:pPr>
      <w:keepNext/>
      <w:pBdr>
        <w:top w:val="single" w:sz="12" w:space="1" w:color="008000"/>
        <w:bottom w:val="single" w:sz="12" w:space="1" w:color="008000"/>
      </w:pBdr>
      <w:shd w:val="pct95" w:color="CCFFCC" w:fill="CCFFCC"/>
      <w:spacing w:after="80" w:line="240" w:lineRule="auto"/>
      <w:jc w:val="left"/>
      <w:outlineLvl w:val="0"/>
    </w:pPr>
    <w:rPr>
      <w:rFonts w:ascii="Arial" w:hAnsi="Arial" w:cs="Arial"/>
      <w:b/>
      <w:bCs/>
      <w:kern w:val="32"/>
      <w:sz w:val="28"/>
      <w:szCs w:val="32"/>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outlineLvl w:val="2"/>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doc">
    <w:name w:val="Caption-doc"/>
    <w:basedOn w:val="Normal"/>
    <w:autoRedefine/>
    <w:pPr>
      <w:ind w:left="170" w:right="170"/>
    </w:pPr>
    <w:rPr>
      <w:sz w:val="18"/>
      <w:szCs w:val="20"/>
    </w:rPr>
  </w:style>
  <w:style w:type="paragraph" w:customStyle="1" w:styleId="References">
    <w:name w:val="References"/>
    <w:basedOn w:val="Normal"/>
    <w:pPr>
      <w:spacing w:before="120" w:after="120" w:line="240" w:lineRule="exact"/>
      <w:ind w:left="720" w:hanging="720"/>
    </w:pPr>
    <w:rPr>
      <w:rFonts w:ascii="Arial" w:hAnsi="Arial"/>
      <w:szCs w:val="20"/>
    </w:rPr>
  </w:style>
  <w:style w:type="paragraph" w:customStyle="1" w:styleId="Chapterheading1">
    <w:name w:val="Chapter heading 1"/>
    <w:basedOn w:val="Normal"/>
    <w:pPr>
      <w:pBdr>
        <w:bottom w:val="single" w:sz="4" w:space="1" w:color="auto"/>
      </w:pBdr>
      <w:ind w:left="720" w:hanging="720"/>
    </w:pPr>
    <w:rPr>
      <w:rFonts w:ascii="CopprplGoth BT" w:hAnsi="CopprplGoth BT"/>
      <w:b/>
      <w:smallCaps/>
      <w:sz w:val="28"/>
      <w:lang w:val="en-US"/>
    </w:rPr>
  </w:style>
  <w:style w:type="paragraph" w:customStyle="1" w:styleId="Chap-head2">
    <w:name w:val="Chap-head 2"/>
    <w:basedOn w:val="Chapterheading1"/>
    <w:pPr>
      <w:pBdr>
        <w:bottom w:val="none" w:sz="0" w:space="0" w:color="auto"/>
      </w:pBdr>
      <w:spacing w:after="120"/>
      <w:ind w:left="0" w:firstLine="720"/>
    </w:pPr>
    <w:rPr>
      <w:rFonts w:ascii="Palatino Linotype" w:hAnsi="Palatino Linotype"/>
      <w:smallCaps w:val="0"/>
      <w:sz w:val="24"/>
    </w:rPr>
  </w:style>
  <w:style w:type="paragraph" w:customStyle="1" w:styleId="Chap-head3">
    <w:name w:val="Chap-head 3"/>
    <w:basedOn w:val="Normal"/>
    <w:pPr>
      <w:ind w:left="720" w:firstLine="720"/>
    </w:pPr>
    <w:rPr>
      <w:rFonts w:ascii="Palatino Linotype" w:hAnsi="Palatino Linotype"/>
      <w:i/>
      <w:iCs/>
      <w:lang w:val="en-US"/>
    </w:rPr>
  </w:style>
  <w:style w:type="paragraph" w:customStyle="1" w:styleId="table-content">
    <w:name w:val="table-content"/>
    <w:basedOn w:val="Normal"/>
    <w:pPr>
      <w:ind w:left="284" w:right="284"/>
    </w:pPr>
    <w:rPr>
      <w:rFonts w:ascii="Arial" w:hAnsi="Arial"/>
      <w:sz w:val="16"/>
      <w:szCs w:val="20"/>
      <w:lang w:val="en-US"/>
    </w:rPr>
  </w:style>
  <w:style w:type="paragraph" w:customStyle="1" w:styleId="backtothetop">
    <w:name w:val="backtothetop"/>
    <w:basedOn w:val="Normal"/>
    <w:pPr>
      <w:spacing w:before="40" w:after="40"/>
      <w:jc w:val="right"/>
    </w:pPr>
    <w:rPr>
      <w:rFonts w:ascii="Tahoma" w:hAnsi="Tahoma"/>
      <w:b/>
      <w:sz w:val="16"/>
    </w:rPr>
  </w:style>
  <w:style w:type="paragraph" w:customStyle="1" w:styleId="Normal-firstlineindent">
    <w:name w:val="Normal-firstlineindent"/>
    <w:basedOn w:val="Normal"/>
    <w:pPr>
      <w:spacing w:line="288" w:lineRule="auto"/>
      <w:ind w:firstLine="454"/>
    </w:pPr>
  </w:style>
  <w:style w:type="paragraph" w:customStyle="1" w:styleId="Author">
    <w:name w:val="Author"/>
    <w:basedOn w:val="Normal"/>
    <w:pPr>
      <w:jc w:val="center"/>
    </w:pPr>
    <w:rPr>
      <w:b/>
      <w:i/>
    </w:rPr>
  </w:style>
  <w:style w:type="paragraph" w:styleId="Title">
    <w:name w:val="Title"/>
    <w:basedOn w:val="Normal"/>
    <w:qFormat/>
    <w:pPr>
      <w:spacing w:line="240" w:lineRule="auto"/>
      <w:jc w:val="center"/>
    </w:pPr>
    <w:rPr>
      <w:rFonts w:ascii="Arial" w:hAnsi="Arial" w:cs="Arial"/>
      <w:sz w:val="44"/>
    </w:rPr>
  </w:style>
  <w:style w:type="character" w:styleId="Hyperlink">
    <w:name w:val="Hyperlink"/>
    <w:basedOn w:val="DefaultParagraphFont"/>
    <w:rPr>
      <w:color w:val="0000FF"/>
      <w:u w:val="single"/>
    </w:rPr>
  </w:style>
  <w:style w:type="paragraph" w:customStyle="1" w:styleId="Normal-indented">
    <w:name w:val="Normal-indented"/>
    <w:basedOn w:val="Normal"/>
    <w:pPr>
      <w:ind w:firstLine="454"/>
    </w:pPr>
    <w:rPr>
      <w:szCs w:val="20"/>
      <w:lang w:val="en-GB"/>
    </w:rPr>
  </w:style>
  <w:style w:type="paragraph" w:customStyle="1" w:styleId="Recommendation">
    <w:name w:val="Recommendation"/>
    <w:basedOn w:val="Normal"/>
    <w:pPr>
      <w:shd w:val="solid" w:color="339966" w:fill="339966"/>
      <w:jc w:val="left"/>
    </w:pPr>
    <w:rPr>
      <w:rFonts w:ascii="Arial" w:hAnsi="Arial"/>
      <w:b/>
      <w:bCs/>
      <w:noProof/>
      <w:color w:val="FFFFFF"/>
      <w:szCs w:val="20"/>
      <w:lang w:val="en-GB"/>
    </w:rPr>
  </w:style>
  <w:style w:type="paragraph" w:styleId="BodyText">
    <w:name w:val="Body Text"/>
    <w:basedOn w:val="Normal"/>
    <w:pPr>
      <w:jc w:val="left"/>
    </w:pPr>
  </w:style>
  <w:style w:type="paragraph" w:styleId="BodyTextIndent">
    <w:name w:val="Body Text Indent"/>
    <w:basedOn w:val="Normal"/>
    <w:pPr>
      <w:ind w:left="1440"/>
    </w:pPr>
  </w:style>
  <w:style w:type="character" w:styleId="FollowedHyperlink">
    <w:name w:val="FollowedHyperlink"/>
    <w:basedOn w:val="DefaultParagraphFont"/>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OC2">
    <w:name w:val="toc 2"/>
    <w:basedOn w:val="Normal"/>
    <w:next w:val="Normal"/>
    <w:autoRedefine/>
    <w:semiHidden/>
    <w:pPr>
      <w:ind w:left="200"/>
    </w:pPr>
  </w:style>
  <w:style w:type="paragraph" w:styleId="TOC1">
    <w:name w:val="toc 1"/>
    <w:basedOn w:val="Normal"/>
    <w:next w:val="Normal"/>
    <w:autoRedefine/>
    <w:semiHidden/>
    <w:pPr>
      <w:spacing w:after="120" w:line="240" w:lineRule="auto"/>
      <w:ind w:right="227"/>
      <w:jc w:val="left"/>
    </w:pPr>
    <w:rPr>
      <w:rFonts w:ascii="Tahoma" w:hAnsi="Tahoma"/>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lockText">
    <w:name w:val="Block Text"/>
    <w:basedOn w:val="Normal"/>
    <w:pPr>
      <w:ind w:left="180" w:right="106"/>
      <w:jc w:val="left"/>
    </w:pPr>
    <w:rPr>
      <w:i/>
      <w:iCs/>
      <w:sz w:val="18"/>
    </w:rPr>
  </w:style>
  <w:style w:type="paragraph" w:styleId="FootnoteText">
    <w:name w:val="footnote text"/>
    <w:basedOn w:val="Normal"/>
    <w:semiHidden/>
    <w:pPr>
      <w:spacing w:line="240" w:lineRule="auto"/>
      <w:jc w:val="left"/>
    </w:pPr>
    <w:rPr>
      <w:szCs w:val="20"/>
    </w:rPr>
  </w:style>
  <w:style w:type="character" w:styleId="FootnoteReference">
    <w:name w:val="footnote reference"/>
    <w:basedOn w:val="DefaultParagraphFont"/>
    <w:semiHidden/>
    <w:rPr>
      <w:vertAlign w:val="superscript"/>
    </w:rPr>
  </w:style>
  <w:style w:type="character" w:styleId="Emphasis">
    <w:name w:val="Emphasis"/>
    <w:basedOn w:val="DefaultParagraphFont"/>
    <w:qFormat/>
    <w:rsid w:val="00BC2D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hyperlink" Target="http://gp.fmg.uva.nl/agids" TargetMode="External"/><Relationship Id="rId3" Type="http://schemas.openxmlformats.org/officeDocument/2006/relationships/settings" Target="settings.xml"/><Relationship Id="rId21" Type="http://schemas.openxmlformats.org/officeDocument/2006/relationships/hyperlink" Target="http://www.efi.fi/events" TargetMode="External"/><Relationship Id="rId7" Type="http://schemas.openxmlformats.org/officeDocument/2006/relationships/image" Target="media/image1.jpeg"/><Relationship Id="rId12" Type="http://schemas.openxmlformats.org/officeDocument/2006/relationships/oleObject" Target="embeddings/oleObject1.bin"/><Relationship Id="rId17" Type="http://schemas.openxmlformats.org/officeDocument/2006/relationships/hyperlink" Target="mailto:johncoleman@latene.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graham.stroud@cec.eu.int" TargetMode="External"/><Relationship Id="rId20" Type="http://schemas.openxmlformats.org/officeDocument/2006/relationships/hyperlink" Target="mailto:m.ros@frw.uva.n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oford.ie" TargetMode="External"/><Relationship Id="rId23" Type="http://schemas.openxmlformats.org/officeDocument/2006/relationships/hyperlink" Target="http://www.austimber2004.com" TargetMode="External"/><Relationship Id="rId10" Type="http://schemas.openxmlformats.org/officeDocument/2006/relationships/hyperlink" Target="http://www.coford.ie" TargetMode="External"/><Relationship Id="rId19" Type="http://schemas.openxmlformats.org/officeDocument/2006/relationships/hyperlink" Target="http://www.tropenbos.org" TargetMode="External"/><Relationship Id="rId4" Type="http://schemas.openxmlformats.org/officeDocument/2006/relationships/webSettings" Target="webSettings.xml"/><Relationship Id="rId9" Type="http://schemas.openxmlformats.org/officeDocument/2006/relationships/hyperlink" Target="mailto:info@coford.ie" TargetMode="External"/><Relationship Id="rId14" Type="http://schemas.openxmlformats.org/officeDocument/2006/relationships/hyperlink" Target="mailto:lauren.maclennan@coford.ie" TargetMode="External"/><Relationship Id="rId22" Type="http://schemas.openxmlformats.org/officeDocument/2006/relationships/hyperlink" Target="http://www.nyme.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4281</Words>
  <Characters>24408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COFORD</Company>
  <LinksUpToDate>false</LinksUpToDate>
  <CharactersWithSpaces>28632</CharactersWithSpaces>
  <SharedDoc>false</SharedDoc>
  <HLinks>
    <vt:vector size="216" baseType="variant">
      <vt:variant>
        <vt:i4>1835050</vt:i4>
      </vt:variant>
      <vt:variant>
        <vt:i4>144</vt:i4>
      </vt:variant>
      <vt:variant>
        <vt:i4>0</vt:i4>
      </vt:variant>
      <vt:variant>
        <vt:i4>5</vt:i4>
      </vt:variant>
      <vt:variant>
        <vt:lpwstr/>
      </vt:variant>
      <vt:variant>
        <vt:lpwstr>_Contents</vt:lpwstr>
      </vt:variant>
      <vt:variant>
        <vt:i4>4849690</vt:i4>
      </vt:variant>
      <vt:variant>
        <vt:i4>141</vt:i4>
      </vt:variant>
      <vt:variant>
        <vt:i4>0</vt:i4>
      </vt:variant>
      <vt:variant>
        <vt:i4>5</vt:i4>
      </vt:variant>
      <vt:variant>
        <vt:lpwstr>http://www.austimber2004.com/</vt:lpwstr>
      </vt:variant>
      <vt:variant>
        <vt:lpwstr/>
      </vt:variant>
      <vt:variant>
        <vt:i4>1835050</vt:i4>
      </vt:variant>
      <vt:variant>
        <vt:i4>138</vt:i4>
      </vt:variant>
      <vt:variant>
        <vt:i4>0</vt:i4>
      </vt:variant>
      <vt:variant>
        <vt:i4>5</vt:i4>
      </vt:variant>
      <vt:variant>
        <vt:lpwstr/>
      </vt:variant>
      <vt:variant>
        <vt:lpwstr>_Contents</vt:lpwstr>
      </vt:variant>
      <vt:variant>
        <vt:i4>7536676</vt:i4>
      </vt:variant>
      <vt:variant>
        <vt:i4>135</vt:i4>
      </vt:variant>
      <vt:variant>
        <vt:i4>0</vt:i4>
      </vt:variant>
      <vt:variant>
        <vt:i4>5</vt:i4>
      </vt:variant>
      <vt:variant>
        <vt:lpwstr>http://www.nyme.hu/</vt:lpwstr>
      </vt:variant>
      <vt:variant>
        <vt:lpwstr/>
      </vt:variant>
      <vt:variant>
        <vt:i4>1835050</vt:i4>
      </vt:variant>
      <vt:variant>
        <vt:i4>132</vt:i4>
      </vt:variant>
      <vt:variant>
        <vt:i4>0</vt:i4>
      </vt:variant>
      <vt:variant>
        <vt:i4>5</vt:i4>
      </vt:variant>
      <vt:variant>
        <vt:lpwstr/>
      </vt:variant>
      <vt:variant>
        <vt:lpwstr>_Contents</vt:lpwstr>
      </vt:variant>
      <vt:variant>
        <vt:i4>327685</vt:i4>
      </vt:variant>
      <vt:variant>
        <vt:i4>129</vt:i4>
      </vt:variant>
      <vt:variant>
        <vt:i4>0</vt:i4>
      </vt:variant>
      <vt:variant>
        <vt:i4>5</vt:i4>
      </vt:variant>
      <vt:variant>
        <vt:lpwstr>http://www.efi.fi/events</vt:lpwstr>
      </vt:variant>
      <vt:variant>
        <vt:lpwstr/>
      </vt:variant>
      <vt:variant>
        <vt:i4>1835050</vt:i4>
      </vt:variant>
      <vt:variant>
        <vt:i4>126</vt:i4>
      </vt:variant>
      <vt:variant>
        <vt:i4>0</vt:i4>
      </vt:variant>
      <vt:variant>
        <vt:i4>5</vt:i4>
      </vt:variant>
      <vt:variant>
        <vt:lpwstr/>
      </vt:variant>
      <vt:variant>
        <vt:lpwstr>_Contents</vt:lpwstr>
      </vt:variant>
      <vt:variant>
        <vt:i4>6619215</vt:i4>
      </vt:variant>
      <vt:variant>
        <vt:i4>123</vt:i4>
      </vt:variant>
      <vt:variant>
        <vt:i4>0</vt:i4>
      </vt:variant>
      <vt:variant>
        <vt:i4>5</vt:i4>
      </vt:variant>
      <vt:variant>
        <vt:lpwstr>mailto:m.ros@frw.uva.nl</vt:lpwstr>
      </vt:variant>
      <vt:variant>
        <vt:lpwstr/>
      </vt:variant>
      <vt:variant>
        <vt:i4>4980751</vt:i4>
      </vt:variant>
      <vt:variant>
        <vt:i4>120</vt:i4>
      </vt:variant>
      <vt:variant>
        <vt:i4>0</vt:i4>
      </vt:variant>
      <vt:variant>
        <vt:i4>5</vt:i4>
      </vt:variant>
      <vt:variant>
        <vt:lpwstr>http://www.tropenbos.org/</vt:lpwstr>
      </vt:variant>
      <vt:variant>
        <vt:lpwstr/>
      </vt:variant>
      <vt:variant>
        <vt:i4>7209006</vt:i4>
      </vt:variant>
      <vt:variant>
        <vt:i4>117</vt:i4>
      </vt:variant>
      <vt:variant>
        <vt:i4>0</vt:i4>
      </vt:variant>
      <vt:variant>
        <vt:i4>5</vt:i4>
      </vt:variant>
      <vt:variant>
        <vt:lpwstr>http://gp.fmg.uva.nl/agids</vt:lpwstr>
      </vt:variant>
      <vt:variant>
        <vt:lpwstr/>
      </vt:variant>
      <vt:variant>
        <vt:i4>1835050</vt:i4>
      </vt:variant>
      <vt:variant>
        <vt:i4>114</vt:i4>
      </vt:variant>
      <vt:variant>
        <vt:i4>0</vt:i4>
      </vt:variant>
      <vt:variant>
        <vt:i4>5</vt:i4>
      </vt:variant>
      <vt:variant>
        <vt:lpwstr/>
      </vt:variant>
      <vt:variant>
        <vt:lpwstr>_Contents</vt:lpwstr>
      </vt:variant>
      <vt:variant>
        <vt:i4>5963874</vt:i4>
      </vt:variant>
      <vt:variant>
        <vt:i4>111</vt:i4>
      </vt:variant>
      <vt:variant>
        <vt:i4>0</vt:i4>
      </vt:variant>
      <vt:variant>
        <vt:i4>5</vt:i4>
      </vt:variant>
      <vt:variant>
        <vt:lpwstr>mailto:johncoleman@latene.com</vt:lpwstr>
      </vt:variant>
      <vt:variant>
        <vt:lpwstr/>
      </vt:variant>
      <vt:variant>
        <vt:i4>1835050</vt:i4>
      </vt:variant>
      <vt:variant>
        <vt:i4>108</vt:i4>
      </vt:variant>
      <vt:variant>
        <vt:i4>0</vt:i4>
      </vt:variant>
      <vt:variant>
        <vt:i4>5</vt:i4>
      </vt:variant>
      <vt:variant>
        <vt:lpwstr/>
      </vt:variant>
      <vt:variant>
        <vt:lpwstr>_Contents</vt:lpwstr>
      </vt:variant>
      <vt:variant>
        <vt:i4>7405662</vt:i4>
      </vt:variant>
      <vt:variant>
        <vt:i4>105</vt:i4>
      </vt:variant>
      <vt:variant>
        <vt:i4>0</vt:i4>
      </vt:variant>
      <vt:variant>
        <vt:i4>5</vt:i4>
      </vt:variant>
      <vt:variant>
        <vt:lpwstr>mailto:graham.stroud@cec.eu.int</vt:lpwstr>
      </vt:variant>
      <vt:variant>
        <vt:lpwstr/>
      </vt:variant>
      <vt:variant>
        <vt:i4>1835050</vt:i4>
      </vt:variant>
      <vt:variant>
        <vt:i4>102</vt:i4>
      </vt:variant>
      <vt:variant>
        <vt:i4>0</vt:i4>
      </vt:variant>
      <vt:variant>
        <vt:i4>5</vt:i4>
      </vt:variant>
      <vt:variant>
        <vt:lpwstr/>
      </vt:variant>
      <vt:variant>
        <vt:lpwstr>_Contents</vt:lpwstr>
      </vt:variant>
      <vt:variant>
        <vt:i4>4391001</vt:i4>
      </vt:variant>
      <vt:variant>
        <vt:i4>99</vt:i4>
      </vt:variant>
      <vt:variant>
        <vt:i4>0</vt:i4>
      </vt:variant>
      <vt:variant>
        <vt:i4>5</vt:i4>
      </vt:variant>
      <vt:variant>
        <vt:lpwstr/>
      </vt:variant>
      <vt:variant>
        <vt:lpwstr>_CONTENTS_1</vt:lpwstr>
      </vt:variant>
      <vt:variant>
        <vt:i4>1835050</vt:i4>
      </vt:variant>
      <vt:variant>
        <vt:i4>96</vt:i4>
      </vt:variant>
      <vt:variant>
        <vt:i4>0</vt:i4>
      </vt:variant>
      <vt:variant>
        <vt:i4>5</vt:i4>
      </vt:variant>
      <vt:variant>
        <vt:lpwstr/>
      </vt:variant>
      <vt:variant>
        <vt:lpwstr>_Contents</vt:lpwstr>
      </vt:variant>
      <vt:variant>
        <vt:i4>1835050</vt:i4>
      </vt:variant>
      <vt:variant>
        <vt:i4>93</vt:i4>
      </vt:variant>
      <vt:variant>
        <vt:i4>0</vt:i4>
      </vt:variant>
      <vt:variant>
        <vt:i4>5</vt:i4>
      </vt:variant>
      <vt:variant>
        <vt:lpwstr/>
      </vt:variant>
      <vt:variant>
        <vt:lpwstr>_Contents</vt:lpwstr>
      </vt:variant>
      <vt:variant>
        <vt:i4>1835050</vt:i4>
      </vt:variant>
      <vt:variant>
        <vt:i4>90</vt:i4>
      </vt:variant>
      <vt:variant>
        <vt:i4>0</vt:i4>
      </vt:variant>
      <vt:variant>
        <vt:i4>5</vt:i4>
      </vt:variant>
      <vt:variant>
        <vt:lpwstr/>
      </vt:variant>
      <vt:variant>
        <vt:lpwstr>_Contents</vt:lpwstr>
      </vt:variant>
      <vt:variant>
        <vt:i4>1835050</vt:i4>
      </vt:variant>
      <vt:variant>
        <vt:i4>87</vt:i4>
      </vt:variant>
      <vt:variant>
        <vt:i4>0</vt:i4>
      </vt:variant>
      <vt:variant>
        <vt:i4>5</vt:i4>
      </vt:variant>
      <vt:variant>
        <vt:lpwstr/>
      </vt:variant>
      <vt:variant>
        <vt:lpwstr>_Contents</vt:lpwstr>
      </vt:variant>
      <vt:variant>
        <vt:i4>1507421</vt:i4>
      </vt:variant>
      <vt:variant>
        <vt:i4>84</vt:i4>
      </vt:variant>
      <vt:variant>
        <vt:i4>0</vt:i4>
      </vt:variant>
      <vt:variant>
        <vt:i4>5</vt:i4>
      </vt:variant>
      <vt:variant>
        <vt:lpwstr>http://www.coford.ie/</vt:lpwstr>
      </vt:variant>
      <vt:variant>
        <vt:lpwstr/>
      </vt:variant>
      <vt:variant>
        <vt:i4>8323077</vt:i4>
      </vt:variant>
      <vt:variant>
        <vt:i4>81</vt:i4>
      </vt:variant>
      <vt:variant>
        <vt:i4>0</vt:i4>
      </vt:variant>
      <vt:variant>
        <vt:i4>5</vt:i4>
      </vt:variant>
      <vt:variant>
        <vt:lpwstr>mailto:lauren.maclennan@coford.ie</vt:lpwstr>
      </vt:variant>
      <vt:variant>
        <vt:lpwstr/>
      </vt:variant>
      <vt:variant>
        <vt:i4>1507421</vt:i4>
      </vt:variant>
      <vt:variant>
        <vt:i4>78</vt:i4>
      </vt:variant>
      <vt:variant>
        <vt:i4>0</vt:i4>
      </vt:variant>
      <vt:variant>
        <vt:i4>5</vt:i4>
      </vt:variant>
      <vt:variant>
        <vt:lpwstr>http://www.coford.ie/</vt:lpwstr>
      </vt:variant>
      <vt:variant>
        <vt:lpwstr/>
      </vt:variant>
      <vt:variant>
        <vt:i4>2097170</vt:i4>
      </vt:variant>
      <vt:variant>
        <vt:i4>75</vt:i4>
      </vt:variant>
      <vt:variant>
        <vt:i4>0</vt:i4>
      </vt:variant>
      <vt:variant>
        <vt:i4>5</vt:i4>
      </vt:variant>
      <vt:variant>
        <vt:lpwstr>mailto:info@coford.ie</vt:lpwstr>
      </vt:variant>
      <vt:variant>
        <vt:lpwstr/>
      </vt:variant>
      <vt:variant>
        <vt:i4>1441851</vt:i4>
      </vt:variant>
      <vt:variant>
        <vt:i4>68</vt:i4>
      </vt:variant>
      <vt:variant>
        <vt:i4>0</vt:i4>
      </vt:variant>
      <vt:variant>
        <vt:i4>5</vt:i4>
      </vt:variant>
      <vt:variant>
        <vt:lpwstr/>
      </vt:variant>
      <vt:variant>
        <vt:lpwstr>_Toc29787292</vt:lpwstr>
      </vt:variant>
      <vt:variant>
        <vt:i4>1376315</vt:i4>
      </vt:variant>
      <vt:variant>
        <vt:i4>62</vt:i4>
      </vt:variant>
      <vt:variant>
        <vt:i4>0</vt:i4>
      </vt:variant>
      <vt:variant>
        <vt:i4>5</vt:i4>
      </vt:variant>
      <vt:variant>
        <vt:lpwstr/>
      </vt:variant>
      <vt:variant>
        <vt:lpwstr>_Toc29787291</vt:lpwstr>
      </vt:variant>
      <vt:variant>
        <vt:i4>1310779</vt:i4>
      </vt:variant>
      <vt:variant>
        <vt:i4>56</vt:i4>
      </vt:variant>
      <vt:variant>
        <vt:i4>0</vt:i4>
      </vt:variant>
      <vt:variant>
        <vt:i4>5</vt:i4>
      </vt:variant>
      <vt:variant>
        <vt:lpwstr/>
      </vt:variant>
      <vt:variant>
        <vt:lpwstr>_Toc29787290</vt:lpwstr>
      </vt:variant>
      <vt:variant>
        <vt:i4>1900602</vt:i4>
      </vt:variant>
      <vt:variant>
        <vt:i4>50</vt:i4>
      </vt:variant>
      <vt:variant>
        <vt:i4>0</vt:i4>
      </vt:variant>
      <vt:variant>
        <vt:i4>5</vt:i4>
      </vt:variant>
      <vt:variant>
        <vt:lpwstr/>
      </vt:variant>
      <vt:variant>
        <vt:lpwstr>_Toc29787289</vt:lpwstr>
      </vt:variant>
      <vt:variant>
        <vt:i4>1835066</vt:i4>
      </vt:variant>
      <vt:variant>
        <vt:i4>44</vt:i4>
      </vt:variant>
      <vt:variant>
        <vt:i4>0</vt:i4>
      </vt:variant>
      <vt:variant>
        <vt:i4>5</vt:i4>
      </vt:variant>
      <vt:variant>
        <vt:lpwstr/>
      </vt:variant>
      <vt:variant>
        <vt:lpwstr>_Toc29787288</vt:lpwstr>
      </vt:variant>
      <vt:variant>
        <vt:i4>1245242</vt:i4>
      </vt:variant>
      <vt:variant>
        <vt:i4>38</vt:i4>
      </vt:variant>
      <vt:variant>
        <vt:i4>0</vt:i4>
      </vt:variant>
      <vt:variant>
        <vt:i4>5</vt:i4>
      </vt:variant>
      <vt:variant>
        <vt:lpwstr/>
      </vt:variant>
      <vt:variant>
        <vt:lpwstr>_Toc29787287</vt:lpwstr>
      </vt:variant>
      <vt:variant>
        <vt:i4>1179706</vt:i4>
      </vt:variant>
      <vt:variant>
        <vt:i4>32</vt:i4>
      </vt:variant>
      <vt:variant>
        <vt:i4>0</vt:i4>
      </vt:variant>
      <vt:variant>
        <vt:i4>5</vt:i4>
      </vt:variant>
      <vt:variant>
        <vt:lpwstr/>
      </vt:variant>
      <vt:variant>
        <vt:lpwstr>_Toc29787286</vt:lpwstr>
      </vt:variant>
      <vt:variant>
        <vt:i4>1114170</vt:i4>
      </vt:variant>
      <vt:variant>
        <vt:i4>26</vt:i4>
      </vt:variant>
      <vt:variant>
        <vt:i4>0</vt:i4>
      </vt:variant>
      <vt:variant>
        <vt:i4>5</vt:i4>
      </vt:variant>
      <vt:variant>
        <vt:lpwstr/>
      </vt:variant>
      <vt:variant>
        <vt:lpwstr>_Toc29787285</vt:lpwstr>
      </vt:variant>
      <vt:variant>
        <vt:i4>1048634</vt:i4>
      </vt:variant>
      <vt:variant>
        <vt:i4>20</vt:i4>
      </vt:variant>
      <vt:variant>
        <vt:i4>0</vt:i4>
      </vt:variant>
      <vt:variant>
        <vt:i4>5</vt:i4>
      </vt:variant>
      <vt:variant>
        <vt:lpwstr/>
      </vt:variant>
      <vt:variant>
        <vt:lpwstr>_Toc29787284</vt:lpwstr>
      </vt:variant>
      <vt:variant>
        <vt:i4>1507386</vt:i4>
      </vt:variant>
      <vt:variant>
        <vt:i4>14</vt:i4>
      </vt:variant>
      <vt:variant>
        <vt:i4>0</vt:i4>
      </vt:variant>
      <vt:variant>
        <vt:i4>5</vt:i4>
      </vt:variant>
      <vt:variant>
        <vt:lpwstr/>
      </vt:variant>
      <vt:variant>
        <vt:lpwstr>_Toc29787283</vt:lpwstr>
      </vt:variant>
      <vt:variant>
        <vt:i4>1441850</vt:i4>
      </vt:variant>
      <vt:variant>
        <vt:i4>8</vt:i4>
      </vt:variant>
      <vt:variant>
        <vt:i4>0</vt:i4>
      </vt:variant>
      <vt:variant>
        <vt:i4>5</vt:i4>
      </vt:variant>
      <vt:variant>
        <vt:lpwstr/>
      </vt:variant>
      <vt:variant>
        <vt:lpwstr>_Toc29787282</vt:lpwstr>
      </vt:variant>
      <vt:variant>
        <vt:i4>1376314</vt:i4>
      </vt:variant>
      <vt:variant>
        <vt:i4>2</vt:i4>
      </vt:variant>
      <vt:variant>
        <vt:i4>0</vt:i4>
      </vt:variant>
      <vt:variant>
        <vt:i4>5</vt:i4>
      </vt:variant>
      <vt:variant>
        <vt:lpwstr/>
      </vt:variant>
      <vt:variant>
        <vt:lpwstr>_Toc29787281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MacLennan</dc:creator>
  <cp:keywords/>
  <dc:description/>
  <cp:lastModifiedBy>Larkin, Vera</cp:lastModifiedBy>
  <cp:revision>3</cp:revision>
  <cp:lastPrinted>2003-01-08T09:31:00Z</cp:lastPrinted>
  <dcterms:created xsi:type="dcterms:W3CDTF">2015-07-13T09:10:00Z</dcterms:created>
  <dcterms:modified xsi:type="dcterms:W3CDTF">2015-07-13T09:49:00Z</dcterms:modified>
</cp:coreProperties>
</file>